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9C73C" w14:textId="66ECD2D5" w:rsidR="00C17852" w:rsidRDefault="008C404F" w:rsidP="00E57E72">
      <w:pPr>
        <w:pStyle w:val="Titre"/>
      </w:pPr>
      <w:r>
        <w:t>Chaire de Professeur.e Junior.e</w:t>
      </w:r>
    </w:p>
    <w:p w14:paraId="3DE4DEBC" w14:textId="77777777" w:rsidR="008C404F" w:rsidRPr="008C404F" w:rsidRDefault="008C404F" w:rsidP="008C404F">
      <w:pPr>
        <w:pStyle w:val="Sous-titre"/>
        <w:spacing w:after="0"/>
        <w:rPr>
          <w:rFonts w:eastAsiaTheme="majorEastAsia" w:cstheme="majorBidi"/>
          <w:b w:val="0"/>
          <w:noProof/>
          <w:color w:val="000F9F" w:themeColor="text1"/>
          <w:spacing w:val="0"/>
          <w:sz w:val="36"/>
          <w:szCs w:val="36"/>
          <w:lang w:eastAsia="fr-FR"/>
        </w:rPr>
      </w:pPr>
      <w:r w:rsidRPr="008C404F">
        <w:rPr>
          <w:rFonts w:eastAsiaTheme="majorEastAsia" w:cstheme="majorBidi"/>
          <w:b w:val="0"/>
          <w:noProof/>
          <w:color w:val="000F9F" w:themeColor="text1"/>
          <w:spacing w:val="0"/>
          <w:sz w:val="36"/>
          <w:szCs w:val="36"/>
          <w:lang w:eastAsia="fr-FR"/>
        </w:rPr>
        <w:t>Profil n°1 : Technique et ingénierie à l’aune des enjeux de la</w:t>
      </w:r>
    </w:p>
    <w:p w14:paraId="586E1010" w14:textId="77777777" w:rsidR="008C404F" w:rsidRDefault="008C404F" w:rsidP="008C404F">
      <w:pPr>
        <w:pStyle w:val="Sous-titre"/>
        <w:spacing w:after="0"/>
        <w:rPr>
          <w:rFonts w:eastAsiaTheme="majorEastAsia" w:cstheme="majorBidi"/>
          <w:b w:val="0"/>
          <w:noProof/>
          <w:color w:val="000F9F" w:themeColor="text1"/>
          <w:spacing w:val="0"/>
          <w:sz w:val="36"/>
          <w:szCs w:val="36"/>
          <w:lang w:eastAsia="fr-FR"/>
        </w:rPr>
      </w:pPr>
      <w:r w:rsidRPr="008C404F">
        <w:rPr>
          <w:rFonts w:eastAsiaTheme="majorEastAsia" w:cstheme="majorBidi"/>
          <w:b w:val="0"/>
          <w:noProof/>
          <w:color w:val="000F9F" w:themeColor="text1"/>
          <w:spacing w:val="0"/>
          <w:sz w:val="36"/>
          <w:szCs w:val="36"/>
          <w:lang w:eastAsia="fr-FR"/>
        </w:rPr>
        <w:t>redirection écologique (TIARE)</w:t>
      </w:r>
    </w:p>
    <w:p w14:paraId="1CCE0632" w14:textId="77777777" w:rsidR="008C404F" w:rsidRPr="008C404F" w:rsidRDefault="008C404F" w:rsidP="008C404F">
      <w:pPr>
        <w:rPr>
          <w:lang w:eastAsia="fr-FR"/>
        </w:rPr>
      </w:pPr>
    </w:p>
    <w:p w14:paraId="5A42779E" w14:textId="055A510F" w:rsidR="008C404F" w:rsidRDefault="008C404F" w:rsidP="008C404F">
      <w:pPr>
        <w:spacing w:after="0"/>
        <w:rPr>
          <w:lang w:eastAsia="fr-FR"/>
        </w:rPr>
      </w:pPr>
      <w:r>
        <w:rPr>
          <w:lang w:eastAsia="fr-FR"/>
        </w:rPr>
        <w:t>Mots clés : Ingénierie responsable, soutenabilité forte, transitions territoriales,</w:t>
      </w:r>
      <w:r w:rsidR="006A7606">
        <w:rPr>
          <w:lang w:eastAsia="fr-FR"/>
        </w:rPr>
        <w:t xml:space="preserve"> </w:t>
      </w:r>
      <w:r>
        <w:rPr>
          <w:lang w:eastAsia="fr-FR"/>
        </w:rPr>
        <w:t>redirection écologique, transdisciplinarité.</w:t>
      </w:r>
    </w:p>
    <w:p w14:paraId="50B2F406" w14:textId="77777777" w:rsidR="008C404F" w:rsidRDefault="008C404F" w:rsidP="008C404F">
      <w:pPr>
        <w:spacing w:after="0"/>
        <w:rPr>
          <w:lang w:eastAsia="fr-FR"/>
        </w:rPr>
      </w:pPr>
    </w:p>
    <w:p w14:paraId="1EF352DE" w14:textId="785D9779" w:rsidR="008C404F" w:rsidRDefault="008C404F" w:rsidP="008C404F">
      <w:pPr>
        <w:spacing w:after="0"/>
        <w:rPr>
          <w:lang w:eastAsia="fr-FR"/>
        </w:rPr>
      </w:pPr>
      <w:r>
        <w:rPr>
          <w:lang w:eastAsia="fr-FR"/>
        </w:rPr>
        <w:t>Titularisation prévue dans le corps des Professeurs d’Université à l’issue d’un contrat de</w:t>
      </w:r>
      <w:r w:rsidR="006A7606">
        <w:rPr>
          <w:lang w:eastAsia="fr-FR"/>
        </w:rPr>
        <w:t xml:space="preserve"> </w:t>
      </w:r>
      <w:r>
        <w:rPr>
          <w:lang w:eastAsia="fr-FR"/>
        </w:rPr>
        <w:t>3 ans.</w:t>
      </w:r>
    </w:p>
    <w:p w14:paraId="009680F7" w14:textId="77777777" w:rsidR="008C404F" w:rsidRDefault="008C404F" w:rsidP="008C404F">
      <w:pPr>
        <w:spacing w:after="0"/>
        <w:rPr>
          <w:lang w:eastAsia="fr-FR"/>
        </w:rPr>
      </w:pPr>
    </w:p>
    <w:p w14:paraId="6871078F" w14:textId="6D95D65E" w:rsidR="008C404F" w:rsidRDefault="008C404F" w:rsidP="008C404F">
      <w:pPr>
        <w:spacing w:after="0"/>
        <w:rPr>
          <w:lang w:eastAsia="fr-FR"/>
        </w:rPr>
      </w:pPr>
      <w:r>
        <w:rPr>
          <w:lang w:eastAsia="fr-FR"/>
        </w:rPr>
        <w:t>Chaire ouverte à l’Institut Méditerranéen des Risques, de l’Environnement et du</w:t>
      </w:r>
      <w:r w:rsidR="006A7606">
        <w:rPr>
          <w:lang w:eastAsia="fr-FR"/>
        </w:rPr>
        <w:t xml:space="preserve"> </w:t>
      </w:r>
      <w:r>
        <w:rPr>
          <w:lang w:eastAsia="fr-FR"/>
        </w:rPr>
        <w:t>Développement Durable (IMREDD) de l’Université Côte d’Azur, sur le Campus centralien</w:t>
      </w:r>
      <w:r w:rsidR="006A7606">
        <w:rPr>
          <w:lang w:eastAsia="fr-FR"/>
        </w:rPr>
        <w:t xml:space="preserve"> </w:t>
      </w:r>
      <w:r>
        <w:rPr>
          <w:lang w:eastAsia="fr-FR"/>
        </w:rPr>
        <w:t>de Nice, avec un rattachement à la section 17 du Comité National des Universités (CNU)</w:t>
      </w:r>
      <w:r>
        <w:rPr>
          <w:lang w:eastAsia="fr-FR"/>
        </w:rPr>
        <w:t>.</w:t>
      </w:r>
    </w:p>
    <w:p w14:paraId="0429166C" w14:textId="77777777" w:rsidR="008C404F" w:rsidRPr="008C404F" w:rsidRDefault="008C404F" w:rsidP="008C404F">
      <w:pPr>
        <w:spacing w:after="0"/>
        <w:rPr>
          <w:lang w:eastAsia="fr-FR"/>
        </w:rPr>
      </w:pPr>
    </w:p>
    <w:p w14:paraId="03581BE9" w14:textId="33A5AF31" w:rsidR="00CE746B" w:rsidRPr="00B3637F" w:rsidRDefault="008C404F" w:rsidP="006E47DE">
      <w:pPr>
        <w:pStyle w:val="Titre1"/>
      </w:pPr>
      <w:bookmarkStart w:id="0" w:name="_Toc195188915"/>
      <w:r>
        <w:pict w14:anchorId="34FA22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22.5pt;mso-position-horizontal-relative:text;mso-position-vertical-relative:text;mso-width-relative:page;mso-height-relative:page" wrapcoords="9683 0 1490 9095 -372 20463 -372 21032 21600 21032 21600 20463 19738 9095 14152 0 9683 0">
            <v:imagedata r:id="rId8" o:title="Fichier 128"/>
          </v:shape>
        </w:pict>
      </w:r>
      <w:bookmarkEnd w:id="0"/>
      <w:r w:rsidR="006E47DE">
        <w:t xml:space="preserve"> </w:t>
      </w:r>
      <w:r>
        <w:t>Contexte et enjeux</w:t>
      </w:r>
      <w:r w:rsidR="00710FAA">
        <w:t xml:space="preserve"> </w:t>
      </w:r>
    </w:p>
    <w:p w14:paraId="687AFC64" w14:textId="10DADDCD" w:rsidR="008C404F" w:rsidRDefault="008C404F" w:rsidP="008C404F">
      <w:pPr>
        <w:spacing w:after="0"/>
      </w:pPr>
      <w:r>
        <w:t>Présente sur Marseille et Nice, Centrale Méditerranée est engagée dans une croissance forte,</w:t>
      </w:r>
      <w:r>
        <w:t xml:space="preserve"> </w:t>
      </w:r>
      <w:r>
        <w:t>et renforce son ancrage scientifique et ses partenariats pour se poser en laboratoire de</w:t>
      </w:r>
      <w:r>
        <w:t xml:space="preserve"> </w:t>
      </w:r>
      <w:r>
        <w:t>l’ingénierie responsable. Elle vise à former des ingénieurs capables de répondre aux</w:t>
      </w:r>
      <w:r>
        <w:t xml:space="preserve"> </w:t>
      </w:r>
      <w:r>
        <w:t>transformations techniques, écologiques, sociales et organisationnelles.</w:t>
      </w:r>
    </w:p>
    <w:p w14:paraId="5CCDAB80" w14:textId="77777777" w:rsidR="008C404F" w:rsidRDefault="008C404F" w:rsidP="008C404F">
      <w:pPr>
        <w:spacing w:after="0"/>
      </w:pPr>
    </w:p>
    <w:p w14:paraId="72305385" w14:textId="2071F919" w:rsidR="008C404F" w:rsidRDefault="008C404F" w:rsidP="008C404F">
      <w:pPr>
        <w:spacing w:after="0"/>
      </w:pPr>
      <w:r>
        <w:t>Cette orientation se traduit par une démarche de transformations responsables, adossée à une</w:t>
      </w:r>
      <w:r>
        <w:t xml:space="preserve"> </w:t>
      </w:r>
      <w:r>
        <w:t>chaire UNESCO, au socle TEDS, à l’alternance intégrative et à des activités transdisciplinaires.</w:t>
      </w:r>
    </w:p>
    <w:p w14:paraId="07F47CFE" w14:textId="411AC803" w:rsidR="008C404F" w:rsidRDefault="008C404F" w:rsidP="008C404F">
      <w:pPr>
        <w:spacing w:after="0"/>
      </w:pPr>
      <w:r>
        <w:t>Depuis 2025, elle prend forme sur le site de Nice à travers des enseignements intégratifs autour</w:t>
      </w:r>
      <w:r>
        <w:t xml:space="preserve"> </w:t>
      </w:r>
      <w:r>
        <w:t>des enjeux “Eau et Territoire”, des conventions de recherche-action et l’articulation entre</w:t>
      </w:r>
      <w:r>
        <w:t xml:space="preserve"> </w:t>
      </w:r>
      <w:r>
        <w:t>formation, territoires et acteurs socio-économiques.</w:t>
      </w:r>
    </w:p>
    <w:p w14:paraId="03AC437E" w14:textId="77777777" w:rsidR="008C404F" w:rsidRDefault="008C404F" w:rsidP="008C404F">
      <w:pPr>
        <w:spacing w:after="0"/>
      </w:pPr>
    </w:p>
    <w:p w14:paraId="61BCD13B" w14:textId="551D4574" w:rsidR="008C404F" w:rsidRDefault="008C404F" w:rsidP="008C404F">
      <w:pPr>
        <w:spacing w:after="0"/>
      </w:pPr>
      <w:r>
        <w:t>Le ou la titulaire de la chaire structurera une approche de l’ingénierie responsable fondée sur la</w:t>
      </w:r>
      <w:r>
        <w:t xml:space="preserve"> </w:t>
      </w:r>
      <w:r>
        <w:t>soutenabilité forte, l’analyse critique des trajectoires techniques et territoriales et la capacité</w:t>
      </w:r>
      <w:r>
        <w:t xml:space="preserve"> </w:t>
      </w:r>
      <w:r>
        <w:t>à arbitrer entre maintien, transformation, réaffectation et renoncement. La redirection</w:t>
      </w:r>
      <w:r>
        <w:t xml:space="preserve"> </w:t>
      </w:r>
      <w:r>
        <w:t>écologique permettra d’outiller les situations où les transitions ne relèvent pas seulement de</w:t>
      </w:r>
      <w:r>
        <w:t xml:space="preserve"> </w:t>
      </w:r>
      <w:r>
        <w:t>l’innovation ou de l’optimisation, mais aussi d’arbitrages sur les infrastructures héritées, les</w:t>
      </w:r>
      <w:r>
        <w:t xml:space="preserve"> </w:t>
      </w:r>
      <w:r>
        <w:t>vulnérabilités, les risques de mal adaptation et les projets à transformer ou rendre renonçables.</w:t>
      </w:r>
    </w:p>
    <w:p w14:paraId="1AF424A3" w14:textId="667B702D" w:rsidR="00342BD7" w:rsidRDefault="00B3637F">
      <w:pPr>
        <w:spacing w:after="160" w:line="259" w:lineRule="auto"/>
        <w:jc w:val="left"/>
      </w:pPr>
      <w:r>
        <w:t xml:space="preserve"> </w:t>
      </w:r>
    </w:p>
    <w:p w14:paraId="23AC7112" w14:textId="0AAE57C1" w:rsidR="00D60F39" w:rsidRDefault="008C404F" w:rsidP="00B3637F">
      <w:pPr>
        <w:pStyle w:val="Titre1"/>
      </w:pPr>
      <w:r>
        <w:pict w14:anchorId="45158B8F">
          <v:shape id="_x0000_i1026" type="#_x0000_t75" style="width:19.5pt;height:22.5pt;mso-position-horizontal-relative:text;mso-position-vertical-relative:text;mso-width-relative:page;mso-height-relative:page" wrapcoords="14850 0 5400 1751 -675 5254 -675 12843 2700 18681 4725 21016 15525 21016 16200 21016 16200 19265 15525 18681 19575 9341 21600 4086 21600 1751 19575 0 14850 0">
            <v:imagedata r:id="rId9" o:title="Engrenages@3x"/>
          </v:shape>
        </w:pict>
      </w:r>
      <w:r w:rsidR="006E47DE">
        <w:t xml:space="preserve"> </w:t>
      </w:r>
      <w:r w:rsidR="00B3637F" w:rsidRPr="002A2268">
        <w:t>Pr</w:t>
      </w:r>
      <w:r>
        <w:t>ojet scientifique</w:t>
      </w:r>
      <w:r w:rsidR="006E47DE" w:rsidRPr="002A2268">
        <w:t xml:space="preserve"> </w:t>
      </w:r>
      <w:r w:rsidR="00AA69B6" w:rsidRPr="002A2268">
        <w:t xml:space="preserve"> </w:t>
      </w:r>
    </w:p>
    <w:p w14:paraId="6A92E3B2" w14:textId="3C5319A4" w:rsidR="008C404F" w:rsidRDefault="008C404F" w:rsidP="008C404F">
      <w:pPr>
        <w:spacing w:after="0"/>
      </w:pPr>
      <w:r>
        <w:t>Le ou la titulaire de la chaire étudiera les conditions scientifiques, pédagogiques et</w:t>
      </w:r>
      <w:r>
        <w:t xml:space="preserve"> </w:t>
      </w:r>
      <w:r>
        <w:t>institutionnelles d’une ingénierie responsable confrontée aux limites planétaires. Les</w:t>
      </w:r>
      <w:r>
        <w:t xml:space="preserve"> </w:t>
      </w:r>
      <w:r>
        <w:t>transitions écologiques ne peuvent plus être pensées seulement comme innovation,</w:t>
      </w:r>
      <w:r>
        <w:t xml:space="preserve"> </w:t>
      </w:r>
      <w:r>
        <w:t>optimisation ou substitution technique. Elles supposent aussi d’identifier dépendances</w:t>
      </w:r>
      <w:r>
        <w:t xml:space="preserve"> </w:t>
      </w:r>
      <w:r>
        <w:t>matérielles, vulnérabilités, infrastructures héritées, risques de mal adaptation et situations</w:t>
      </w:r>
      <w:r>
        <w:t xml:space="preserve"> </w:t>
      </w:r>
      <w:r>
        <w:t>dans lesquelles certains projets doivent être transformés, ralentis, réaffectés ou abandonnés.</w:t>
      </w:r>
    </w:p>
    <w:p w14:paraId="30D1BA0B" w14:textId="3BC728FE" w:rsidR="008C404F" w:rsidRDefault="008C404F" w:rsidP="008C404F">
      <w:pPr>
        <w:spacing w:after="0"/>
      </w:pPr>
      <w:r>
        <w:t>À partir de terrains territoriaux, industriels et méditerranéens, la chaire développera une</w:t>
      </w:r>
      <w:r>
        <w:t xml:space="preserve"> </w:t>
      </w:r>
      <w:r>
        <w:t>approche transdisciplinaire croisant SHS, philosophie de la technique, sciences sociales des</w:t>
      </w:r>
      <w:r>
        <w:t xml:space="preserve"> </w:t>
      </w:r>
      <w:r>
        <w:lastRenderedPageBreak/>
        <w:t>transitions, politiques publiques et ingénierie. Elle produira des méthodes d’enquête, de</w:t>
      </w:r>
      <w:r>
        <w:t xml:space="preserve"> </w:t>
      </w:r>
      <w:r>
        <w:t>diagnostic et d’aide à l’arbitrage en soutenabilité forte, afin de former des ingénieurs capables</w:t>
      </w:r>
      <w:r>
        <w:t xml:space="preserve"> </w:t>
      </w:r>
      <w:r>
        <w:t>de penser la technique non seulement comme solution, mais comme héritage, responsabilité</w:t>
      </w:r>
      <w:r>
        <w:t xml:space="preserve"> </w:t>
      </w:r>
      <w:r>
        <w:t>et trajectoire à rediriger.</w:t>
      </w:r>
    </w:p>
    <w:p w14:paraId="59D6C3DB" w14:textId="77777777" w:rsidR="008C404F" w:rsidRDefault="008C404F" w:rsidP="008C404F">
      <w:pPr>
        <w:spacing w:after="0"/>
      </w:pPr>
    </w:p>
    <w:p w14:paraId="5231461B" w14:textId="5B375D56" w:rsidR="008C404F" w:rsidRDefault="008C404F" w:rsidP="008C404F">
      <w:pPr>
        <w:spacing w:after="0"/>
      </w:pPr>
      <w:r>
        <w:t>L’IMREDD développe des écosystèmes interactifs et des projets entre les mondes</w:t>
      </w:r>
      <w:r>
        <w:t xml:space="preserve"> </w:t>
      </w:r>
      <w:r>
        <w:t>académiques, et socio-économique pour répondre aux défis des territoires, des organisations</w:t>
      </w:r>
      <w:r>
        <w:t xml:space="preserve"> </w:t>
      </w:r>
      <w:r>
        <w:t>et des populations dans un contexte de changements climatiques et globaux. La chaire</w:t>
      </w:r>
      <w:r>
        <w:t xml:space="preserve"> </w:t>
      </w:r>
      <w:r>
        <w:t>renforcera cette stratégie par une approche SHS exigeante des transitions territoriales, des</w:t>
      </w:r>
      <w:r>
        <w:t xml:space="preserve"> </w:t>
      </w:r>
      <w:r>
        <w:t>risques et de l’ingénierie responsable. Elle travaillera les situations où les réponses aux crises</w:t>
      </w:r>
      <w:r>
        <w:t xml:space="preserve"> </w:t>
      </w:r>
      <w:r>
        <w:t>environnementales relèvent de solutions nouvelles, mais aussi d’arbitrages sur des</w:t>
      </w:r>
      <w:r>
        <w:t xml:space="preserve"> </w:t>
      </w:r>
      <w:r>
        <w:t>infrastructures héritées, des dépendances matérielles ou énergétiques, des vulnérabilités, des</w:t>
      </w:r>
      <w:r>
        <w:t xml:space="preserve"> </w:t>
      </w:r>
      <w:r>
        <w:t>risques de mal adaptation et des projets à transformer ou rendre renonçables. Elle produira</w:t>
      </w:r>
      <w:r>
        <w:t xml:space="preserve"> </w:t>
      </w:r>
      <w:r>
        <w:t>enquêtes, méthodes de diagnostic, ressources pédagogiques et outils d’aide à la décision pour</w:t>
      </w:r>
      <w:r>
        <w:t xml:space="preserve"> </w:t>
      </w:r>
      <w:r>
        <w:t xml:space="preserve">les territoires méditerranéens, dans une démarche de projets </w:t>
      </w:r>
      <w:proofErr w:type="spellStart"/>
      <w:r>
        <w:t>co-construits</w:t>
      </w:r>
      <w:proofErr w:type="spellEnd"/>
      <w:r>
        <w:t xml:space="preserve"> ECM-</w:t>
      </w:r>
      <w:proofErr w:type="spellStart"/>
      <w:r>
        <w:t>UniCA</w:t>
      </w:r>
      <w:proofErr w:type="spellEnd"/>
      <w:r>
        <w:t>.</w:t>
      </w:r>
    </w:p>
    <w:p w14:paraId="6CFCC936" w14:textId="77777777" w:rsidR="008C404F" w:rsidRDefault="008C404F">
      <w:pPr>
        <w:spacing w:after="160" w:line="259" w:lineRule="auto"/>
        <w:jc w:val="left"/>
      </w:pPr>
    </w:p>
    <w:p w14:paraId="38E2C6DE" w14:textId="59CDD1F6" w:rsidR="008C404F" w:rsidRDefault="008C404F" w:rsidP="008C404F">
      <w:pPr>
        <w:pStyle w:val="Titre1"/>
      </w:pPr>
      <w:r>
        <w:rPr>
          <w:noProof/>
        </w:rPr>
        <w:drawing>
          <wp:inline distT="0" distB="0" distL="0" distR="0" wp14:anchorId="38C00093" wp14:editId="1B7401C7">
            <wp:extent cx="247650" cy="2857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A2268">
        <w:t>Pr</w:t>
      </w:r>
      <w:r>
        <w:t xml:space="preserve">ojet </w:t>
      </w:r>
      <w:r>
        <w:t>d’enseignement</w:t>
      </w:r>
      <w:r w:rsidRPr="002A2268">
        <w:t xml:space="preserve">  </w:t>
      </w:r>
    </w:p>
    <w:p w14:paraId="0EDCEC78" w14:textId="6D0742F5" w:rsidR="008C404F" w:rsidRDefault="008C404F" w:rsidP="006A7606">
      <w:pPr>
        <w:spacing w:after="0" w:line="259" w:lineRule="auto"/>
      </w:pPr>
      <w:r>
        <w:t>Centrale Méditerranée est engagée dans une démarche qui place la formation des ingénieurs</w:t>
      </w:r>
      <w:r>
        <w:t xml:space="preserve"> </w:t>
      </w:r>
      <w:r>
        <w:t>au cœur des enjeux de transformation des entreprises et des organisations, dans un monde en</w:t>
      </w:r>
      <w:r>
        <w:t xml:space="preserve"> </w:t>
      </w:r>
      <w:r>
        <w:t>pleine évolution. Dans cet esprit, elle intègre dans l’ensemble de ses missions, et avec une</w:t>
      </w:r>
      <w:r>
        <w:t xml:space="preserve"> </w:t>
      </w:r>
      <w:r>
        <w:t>vision systémique, la prise en compte des enjeux environnementaux et sociétaux. Les élèves</w:t>
      </w:r>
      <w:r>
        <w:t xml:space="preserve"> </w:t>
      </w:r>
      <w:r>
        <w:t>qui rejoignent nos formations, quels que soient les programmes, attendent un engagement</w:t>
      </w:r>
      <w:r>
        <w:t xml:space="preserve"> </w:t>
      </w:r>
      <w:r>
        <w:t>dans l’action, impactant à la fois les contenus, les pédagogies, et les compétences. Le ou la</w:t>
      </w:r>
      <w:r>
        <w:t xml:space="preserve"> </w:t>
      </w:r>
      <w:r>
        <w:t>titulaire de la chaire s’impliquera activement dans les réflexions, actions et réponses aux appels</w:t>
      </w:r>
      <w:r>
        <w:t xml:space="preserve"> </w:t>
      </w:r>
      <w:r>
        <w:t>à projet portées par l’école (Voir plan stratégique Cap 2030).</w:t>
      </w:r>
    </w:p>
    <w:p w14:paraId="12398A50" w14:textId="77777777" w:rsidR="008C404F" w:rsidRDefault="008C404F" w:rsidP="006A7606">
      <w:pPr>
        <w:spacing w:after="0" w:line="259" w:lineRule="auto"/>
      </w:pPr>
    </w:p>
    <w:p w14:paraId="0358AD20" w14:textId="122FA04F" w:rsidR="00E57E72" w:rsidRDefault="008C404F" w:rsidP="006A7606">
      <w:pPr>
        <w:spacing w:after="0" w:line="259" w:lineRule="auto"/>
      </w:pPr>
      <w:r>
        <w:t>Le ou la titulaire de la chaire contribuera à renforcer la place de l’ingénierie responsable, de la</w:t>
      </w:r>
      <w:r>
        <w:t xml:space="preserve"> </w:t>
      </w:r>
      <w:r>
        <w:t>soutenabilité forte et des transitions territoriales dans les programmes. Il ou elle contribue au</w:t>
      </w:r>
      <w:r>
        <w:t xml:space="preserve"> </w:t>
      </w:r>
      <w:r>
        <w:t xml:space="preserve">diplôme d’ingénieur généraliste, au socle TEDS, aux activités intégratives, au </w:t>
      </w:r>
      <w:proofErr w:type="spellStart"/>
      <w:r>
        <w:t>Bachelor</w:t>
      </w:r>
      <w:proofErr w:type="spellEnd"/>
      <w:r>
        <w:t>, au</w:t>
      </w:r>
      <w:r w:rsidR="006A7606">
        <w:t xml:space="preserve"> </w:t>
      </w:r>
      <w:r>
        <w:t xml:space="preserve">Master international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Engineering, à la formation doctorale et continue. Une</w:t>
      </w:r>
      <w:r>
        <w:t xml:space="preserve"> </w:t>
      </w:r>
      <w:r>
        <w:t>attention particulière sera portée au site de Nice et aux enseignements autour d’“Eau et</w:t>
      </w:r>
      <w:r w:rsidR="006A7606">
        <w:t xml:space="preserve"> </w:t>
      </w:r>
      <w:r>
        <w:t>Territoire”, laboratoire pédagogique associant savoirs techniques, approche territoriale,</w:t>
      </w:r>
      <w:r>
        <w:t xml:space="preserve"> </w:t>
      </w:r>
      <w:r>
        <w:t>métabolisme, projets étudiants et réflexion sur les trajectoires de transformation. Les</w:t>
      </w:r>
      <w:r>
        <w:t xml:space="preserve"> </w:t>
      </w:r>
      <w:r>
        <w:t>enseignements porteront sur dépendances matérielles, infrastructures, vulnérabilités,</w:t>
      </w:r>
      <w:r>
        <w:t xml:space="preserve"> </w:t>
      </w:r>
      <w:r>
        <w:t>controverses, arbitrages de soutenabilité, risques de mal adaptation et scénarios de</w:t>
      </w:r>
      <w:r>
        <w:t xml:space="preserve"> </w:t>
      </w:r>
      <w:r>
        <w:t>redirection. Le ou la titulaire de la chaire contribuera à des modules courts de formation</w:t>
      </w:r>
      <w:r>
        <w:t xml:space="preserve"> </w:t>
      </w:r>
      <w:r>
        <w:t>continue ou certificats pour ingénieurs, cadres publics, collectivités et organisations.</w:t>
      </w:r>
    </w:p>
    <w:p w14:paraId="68253940" w14:textId="77777777" w:rsidR="006A7606" w:rsidRDefault="006A7606" w:rsidP="008C404F">
      <w:pPr>
        <w:spacing w:after="0" w:line="259" w:lineRule="auto"/>
        <w:jc w:val="left"/>
      </w:pPr>
    </w:p>
    <w:p w14:paraId="127F21AA" w14:textId="77777777" w:rsidR="006A7606" w:rsidRDefault="006A7606" w:rsidP="008C404F">
      <w:pPr>
        <w:spacing w:after="0" w:line="259" w:lineRule="auto"/>
        <w:jc w:val="left"/>
      </w:pPr>
    </w:p>
    <w:p w14:paraId="21BC1DE3" w14:textId="77777777" w:rsidR="006A7606" w:rsidRDefault="006A7606" w:rsidP="008C404F">
      <w:pPr>
        <w:spacing w:after="0" w:line="259" w:lineRule="auto"/>
        <w:jc w:val="left"/>
      </w:pPr>
    </w:p>
    <w:p w14:paraId="6D29DB4E" w14:textId="77777777" w:rsidR="006A7606" w:rsidRDefault="006A7606" w:rsidP="008C404F">
      <w:pPr>
        <w:spacing w:after="0" w:line="259" w:lineRule="auto"/>
        <w:jc w:val="left"/>
      </w:pPr>
    </w:p>
    <w:p w14:paraId="6B6DEA72" w14:textId="77777777" w:rsidR="006A7606" w:rsidRDefault="006A7606" w:rsidP="008C404F">
      <w:pPr>
        <w:spacing w:after="0" w:line="259" w:lineRule="auto"/>
        <w:jc w:val="left"/>
      </w:pPr>
    </w:p>
    <w:p w14:paraId="1B95079C" w14:textId="77777777" w:rsidR="006A7606" w:rsidRDefault="006A7606" w:rsidP="008C404F">
      <w:pPr>
        <w:spacing w:after="0" w:line="259" w:lineRule="auto"/>
        <w:jc w:val="left"/>
      </w:pPr>
    </w:p>
    <w:p w14:paraId="28D319A7" w14:textId="65702CD0" w:rsidR="00481B94" w:rsidRDefault="008C404F" w:rsidP="00B3637F">
      <w:pPr>
        <w:pStyle w:val="Titre1"/>
      </w:pPr>
      <w:r>
        <w:lastRenderedPageBreak/>
        <w:pict w14:anchorId="49B174E4">
          <v:shape id="_x0000_i1027" type="#_x0000_t75" style="width:24pt;height:22.5pt;mso-position-horizontal-relative:text;mso-position-vertical-relative:text;mso-width-relative:page;mso-height-relative:page" wrapcoords="3323 0 0 3503 -554 4670 -554 12259 10523 18681 15508 18681 17723 21016 21600 21016 21600 18681 13846 2335 11077 0 3323 0">
            <v:imagedata r:id="rId11" o:title="Loupe@3x"/>
          </v:shape>
        </w:pict>
      </w:r>
      <w:r w:rsidR="006E47DE">
        <w:t xml:space="preserve"> </w:t>
      </w:r>
      <w:r>
        <w:t>Candidature et critères d’évaluation</w:t>
      </w:r>
      <w:r w:rsidR="006E47DE">
        <w:t xml:space="preserve">  </w:t>
      </w:r>
    </w:p>
    <w:p w14:paraId="2A2F7ED0" w14:textId="666A93DA" w:rsidR="00534A36" w:rsidRDefault="006A7606" w:rsidP="00534A36">
      <w:pPr>
        <w:pStyle w:val="Titre3"/>
      </w:pPr>
      <w:r>
        <w:t xml:space="preserve">Les candidats doivent remplir l’une des conditions suivantes : </w:t>
      </w:r>
    </w:p>
    <w:p w14:paraId="22181F25" w14:textId="642607E7" w:rsidR="006A7606" w:rsidRPr="006A7606" w:rsidRDefault="006A7606" w:rsidP="006A7606">
      <w:pPr>
        <w:pStyle w:val="Paragraphedeliste"/>
        <w:numPr>
          <w:ilvl w:val="0"/>
          <w:numId w:val="11"/>
        </w:numPr>
        <w:spacing w:after="0"/>
      </w:pPr>
      <w:r w:rsidRPr="006A7606">
        <w:t>Être titulaire du doctorat prévu à l'article L. 612 7 du code de l'éducation ;</w:t>
      </w:r>
    </w:p>
    <w:p w14:paraId="126F9CE5" w14:textId="0867DFAF" w:rsidR="006A7606" w:rsidRPr="006A7606" w:rsidRDefault="006A7606" w:rsidP="006A7606">
      <w:pPr>
        <w:pStyle w:val="Paragraphedeliste"/>
        <w:numPr>
          <w:ilvl w:val="0"/>
          <w:numId w:val="11"/>
        </w:numPr>
        <w:spacing w:after="0"/>
      </w:pPr>
      <w:r w:rsidRPr="006A7606">
        <w:t>Être titulaire d'un doctorat d'Etat ou de troisième cycle ;</w:t>
      </w:r>
    </w:p>
    <w:p w14:paraId="5EE2B77C" w14:textId="56F36351" w:rsidR="006A7606" w:rsidRPr="006A7606" w:rsidRDefault="006A7606" w:rsidP="006A7606">
      <w:pPr>
        <w:pStyle w:val="Paragraphedeliste"/>
        <w:numPr>
          <w:ilvl w:val="0"/>
          <w:numId w:val="11"/>
        </w:numPr>
        <w:spacing w:after="0"/>
      </w:pPr>
      <w:r w:rsidRPr="006A7606">
        <w:t>Être titulaire d'un diplôme de docteur ingénieur ;</w:t>
      </w:r>
    </w:p>
    <w:p w14:paraId="17B1C965" w14:textId="11B3534A" w:rsidR="006A7606" w:rsidRPr="006A7606" w:rsidRDefault="006A7606" w:rsidP="006A7606">
      <w:pPr>
        <w:pStyle w:val="Paragraphedeliste"/>
        <w:numPr>
          <w:ilvl w:val="0"/>
          <w:numId w:val="11"/>
        </w:numPr>
        <w:spacing w:after="0"/>
      </w:pPr>
      <w:r w:rsidRPr="006A7606">
        <w:t>Être titulaire d'un titre universitaire étranger jugé équivalent aux diplômes ci-dessus ;</w:t>
      </w:r>
      <w:r>
        <w:t xml:space="preserve"> </w:t>
      </w:r>
      <w:r w:rsidRPr="006A7606">
        <w:t>dans ce cas, une demande d’équivalence et une traduction sont obligatoire ;</w:t>
      </w:r>
    </w:p>
    <w:p w14:paraId="0E814AB4" w14:textId="3AC64B67" w:rsidR="006A7606" w:rsidRPr="006A7606" w:rsidRDefault="006A7606" w:rsidP="006A7606">
      <w:pPr>
        <w:pStyle w:val="Paragraphedeliste"/>
        <w:numPr>
          <w:ilvl w:val="0"/>
          <w:numId w:val="11"/>
        </w:numPr>
        <w:spacing w:after="0"/>
      </w:pPr>
      <w:r w:rsidRPr="006A7606">
        <w:t>Justifier de titres ou travaux scientifiques jugés équivalents aux diplômes ci-dessus ;</w:t>
      </w:r>
      <w:r>
        <w:t xml:space="preserve"> </w:t>
      </w:r>
      <w:r w:rsidRPr="006A7606">
        <w:t>dans ce cas, les candidats ou les candidates doivent formuler une demande</w:t>
      </w:r>
      <w:r>
        <w:t xml:space="preserve"> </w:t>
      </w:r>
      <w:r w:rsidRPr="006A7606">
        <w:t>d’équivalence.</w:t>
      </w:r>
    </w:p>
    <w:p w14:paraId="7E1FE86F" w14:textId="77777777" w:rsidR="006A7606" w:rsidRPr="006A7606" w:rsidRDefault="006A7606" w:rsidP="006A7606">
      <w:pPr>
        <w:pStyle w:val="Titre3"/>
      </w:pPr>
      <w:r w:rsidRPr="006A7606">
        <w:t>Les modalités de candidature :</w:t>
      </w:r>
    </w:p>
    <w:p w14:paraId="519E7322" w14:textId="53FD5153" w:rsidR="006A7606" w:rsidRPr="006A7606" w:rsidRDefault="006A7606" w:rsidP="006A7606">
      <w:pPr>
        <w:spacing w:after="0"/>
      </w:pPr>
      <w:r w:rsidRPr="006A7606">
        <w:t>Les candidatures seront déposées en ligne sur l’application ministérielle ODYSSEE.</w:t>
      </w:r>
    </w:p>
    <w:p w14:paraId="0571AF62" w14:textId="77777777" w:rsidR="006A7606" w:rsidRPr="006A7606" w:rsidRDefault="006A7606" w:rsidP="006A7606">
      <w:pPr>
        <w:pStyle w:val="Titre3"/>
      </w:pPr>
      <w:r w:rsidRPr="006A7606">
        <w:t>Le calendrier :</w:t>
      </w:r>
    </w:p>
    <w:p w14:paraId="7561FF4A" w14:textId="19E16056" w:rsidR="006A7606" w:rsidRDefault="006A7606" w:rsidP="006A7606">
      <w:pPr>
        <w:spacing w:after="0"/>
      </w:pPr>
      <w:r w:rsidRPr="006A7606">
        <w:t>Ouverture des candidatures : 15 septembre 2026, 16 heures (heure de Paris)</w:t>
      </w:r>
      <w:r>
        <w:t>.</w:t>
      </w:r>
    </w:p>
    <w:p w14:paraId="17554DF5" w14:textId="77777777" w:rsidR="006A7606" w:rsidRPr="006A7606" w:rsidRDefault="006A7606" w:rsidP="006A7606">
      <w:pPr>
        <w:spacing w:after="0"/>
      </w:pPr>
    </w:p>
    <w:p w14:paraId="4B8BBF08" w14:textId="3E9C6009" w:rsidR="006A7606" w:rsidRDefault="006A7606" w:rsidP="006A7606">
      <w:pPr>
        <w:spacing w:after="0"/>
      </w:pPr>
      <w:r w:rsidRPr="006A7606">
        <w:t>Limite de dépôt des candidatures : 16 octobre 2026, 16 heures (heure de Paris)</w:t>
      </w:r>
      <w:r>
        <w:t>.</w:t>
      </w:r>
    </w:p>
    <w:p w14:paraId="432E707A" w14:textId="77777777" w:rsidR="006A7606" w:rsidRPr="006A7606" w:rsidRDefault="006A7606" w:rsidP="006A7606">
      <w:pPr>
        <w:spacing w:after="0"/>
      </w:pPr>
    </w:p>
    <w:p w14:paraId="2E015025" w14:textId="643F093A" w:rsidR="006A7606" w:rsidRPr="006A7606" w:rsidRDefault="006A7606" w:rsidP="006A7606">
      <w:pPr>
        <w:spacing w:after="0"/>
      </w:pPr>
      <w:r w:rsidRPr="006A7606">
        <w:t>La date de recrutement de la chaire est fixée au 01 décembre 2026.</w:t>
      </w:r>
    </w:p>
    <w:p w14:paraId="018012CE" w14:textId="77777777" w:rsidR="006A7606" w:rsidRPr="006A7606" w:rsidRDefault="006A7606" w:rsidP="006A7606">
      <w:pPr>
        <w:pStyle w:val="Titre3"/>
      </w:pPr>
      <w:r w:rsidRPr="006A7606">
        <w:t>Les critères d’évaluation :</w:t>
      </w:r>
    </w:p>
    <w:p w14:paraId="1BC9EB38" w14:textId="512B8D50" w:rsidR="006A7606" w:rsidRPr="006A7606" w:rsidRDefault="006A7606" w:rsidP="006A7606">
      <w:pPr>
        <w:pStyle w:val="Paragraphedeliste"/>
        <w:numPr>
          <w:ilvl w:val="0"/>
          <w:numId w:val="11"/>
        </w:numPr>
        <w:spacing w:after="0"/>
      </w:pPr>
      <w:r w:rsidRPr="006A7606">
        <w:t>Excellence du candidat ou de la candidate, motivations, capacité d’encadrement</w:t>
      </w:r>
      <w:r>
        <w:t xml:space="preserve"> </w:t>
      </w:r>
      <w:r w:rsidRPr="006A7606">
        <w:t>pédagogique et scientifique.</w:t>
      </w:r>
    </w:p>
    <w:p w14:paraId="2C518612" w14:textId="4CEDF6C7" w:rsidR="006A7606" w:rsidRPr="006A7606" w:rsidRDefault="006A7606" w:rsidP="006A7606">
      <w:pPr>
        <w:pStyle w:val="Paragraphedeliste"/>
        <w:numPr>
          <w:ilvl w:val="0"/>
          <w:numId w:val="12"/>
        </w:numPr>
        <w:spacing w:after="0"/>
      </w:pPr>
      <w:r w:rsidRPr="006A7606">
        <w:t>Qualité, originalité des projets de formation et de recherche.</w:t>
      </w:r>
    </w:p>
    <w:p w14:paraId="302B0E82" w14:textId="30989459" w:rsidR="006A7606" w:rsidRPr="006A7606" w:rsidRDefault="006A7606" w:rsidP="006A7606">
      <w:pPr>
        <w:pStyle w:val="Paragraphedeliste"/>
        <w:numPr>
          <w:ilvl w:val="0"/>
          <w:numId w:val="12"/>
        </w:numPr>
        <w:spacing w:after="0"/>
      </w:pPr>
      <w:r w:rsidRPr="006A7606">
        <w:t>Pertinence et effet structurant du projet au sein du laboratoire et au niveau des</w:t>
      </w:r>
      <w:r>
        <w:t xml:space="preserve"> </w:t>
      </w:r>
      <w:r w:rsidRPr="006A7606">
        <w:t>partenariats.</w:t>
      </w:r>
    </w:p>
    <w:p w14:paraId="7ED85F00" w14:textId="0B3BF325" w:rsidR="006A7606" w:rsidRPr="006A7606" w:rsidRDefault="006A7606" w:rsidP="006A7606">
      <w:pPr>
        <w:pStyle w:val="Paragraphedeliste"/>
        <w:numPr>
          <w:ilvl w:val="0"/>
          <w:numId w:val="12"/>
        </w:numPr>
        <w:spacing w:after="0"/>
      </w:pPr>
      <w:r w:rsidRPr="006A7606">
        <w:t>Cohérence des projets avec la politique de l’établissement.</w:t>
      </w:r>
    </w:p>
    <w:p w14:paraId="3C7AE9D8" w14:textId="7CC1C75C" w:rsidR="006A7606" w:rsidRDefault="006A7606" w:rsidP="006A7606">
      <w:pPr>
        <w:pStyle w:val="Paragraphedeliste"/>
        <w:numPr>
          <w:ilvl w:val="0"/>
          <w:numId w:val="12"/>
        </w:numPr>
        <w:spacing w:after="0"/>
      </w:pPr>
      <w:r w:rsidRPr="006A7606">
        <w:t>Adéquation des moyens au projet proposé et capacité à mobiliser des moyens</w:t>
      </w:r>
      <w:r>
        <w:t xml:space="preserve"> </w:t>
      </w:r>
      <w:r w:rsidRPr="006A7606">
        <w:t>complémentaires.</w:t>
      </w:r>
    </w:p>
    <w:p w14:paraId="6A72B3B2" w14:textId="77777777" w:rsidR="006A7606" w:rsidRDefault="006A7606" w:rsidP="006A7606">
      <w:pPr>
        <w:pStyle w:val="Paragraphedeliste"/>
        <w:spacing w:after="0"/>
      </w:pPr>
    </w:p>
    <w:p w14:paraId="305C4B69" w14:textId="00B1B50A" w:rsidR="006A7606" w:rsidRDefault="006A7606" w:rsidP="006A7606">
      <w:pPr>
        <w:spacing w:after="0"/>
      </w:pPr>
      <w:r w:rsidRPr="006A7606">
        <w:t>Ces éléments seront également évalués lors de l’audition dans une séquence de type leçon sur</w:t>
      </w:r>
      <w:r>
        <w:t xml:space="preserve"> </w:t>
      </w:r>
      <w:r w:rsidRPr="006A7606">
        <w:t>un thème scientifique communiqué à l’avance.</w:t>
      </w:r>
    </w:p>
    <w:p w14:paraId="40410920" w14:textId="2D3CB90A" w:rsidR="00911625" w:rsidRPr="00DD3B76" w:rsidRDefault="008C404F" w:rsidP="00911625">
      <w:r w:rsidRPr="00B3637F"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EA45D16" wp14:editId="12DEC49D">
                <wp:simplePos x="0" y="0"/>
                <wp:positionH relativeFrom="margin">
                  <wp:posOffset>5715</wp:posOffset>
                </wp:positionH>
                <wp:positionV relativeFrom="paragraph">
                  <wp:posOffset>561975</wp:posOffset>
                </wp:positionV>
                <wp:extent cx="6191250" cy="304800"/>
                <wp:effectExtent l="0" t="0" r="0" b="0"/>
                <wp:wrapThrough wrapText="bothSides">
                  <wp:wrapPolygon edited="0">
                    <wp:start x="199" y="0"/>
                    <wp:lineTo x="199" y="20250"/>
                    <wp:lineTo x="21401" y="20250"/>
                    <wp:lineTo x="21401" y="0"/>
                    <wp:lineTo x="199" y="0"/>
                  </wp:wrapPolygon>
                </wp:wrapThrough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51472" w14:textId="77777777" w:rsidR="008C404F" w:rsidRPr="00B3637F" w:rsidRDefault="008C404F" w:rsidP="008C404F">
                            <w:pPr>
                              <w:spacing w:after="160" w:line="259" w:lineRule="auto"/>
                              <w:jc w:val="left"/>
                              <w:rPr>
                                <w:rFonts w:ascii="Barlow" w:eastAsiaTheme="majorEastAsia" w:hAnsi="Barlow" w:cstheme="majorBidi"/>
                                <w:b/>
                                <w:sz w:val="32"/>
                                <w:szCs w:val="26"/>
                              </w:rPr>
                            </w:pPr>
                            <w:r w:rsidRPr="00B3637F">
                              <w:rPr>
                                <w:b/>
                              </w:rPr>
                              <w:t xml:space="preserve">Pour découvrir l’école, </w:t>
                            </w:r>
                            <w:hyperlink r:id="rId12" w:history="1">
                              <w:r w:rsidRPr="00B3637F">
                                <w:rPr>
                                  <w:rStyle w:val="Lienhypertexte"/>
                                  <w:b/>
                                </w:rPr>
                                <w:t>visitez notre site internet</w:t>
                              </w:r>
                            </w:hyperlink>
                            <w:r w:rsidRPr="00B3637F">
                              <w:rPr>
                                <w:b/>
                              </w:rPr>
                              <w:t xml:space="preserve"> et </w:t>
                            </w:r>
                            <w:hyperlink r:id="rId13" w:history="1">
                              <w:r w:rsidRPr="00B3637F">
                                <w:rPr>
                                  <w:rStyle w:val="Lienhypertexte"/>
                                  <w:b/>
                                </w:rPr>
                                <w:t>visionnez notre film de présentation</w:t>
                              </w:r>
                            </w:hyperlink>
                            <w:r w:rsidRPr="00B3637F">
                              <w:rPr>
                                <w:b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45D1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.45pt;margin-top:44.25pt;width:487.5pt;height:24pt;z-index:2517309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" filled="f" stroked="f" strokeweight=".5pt">
                <v:textbox>
                  <w:txbxContent>
                    <w:p w14:paraId="1A051472" w14:textId="77777777" w:rsidR="008C404F" w:rsidRPr="00B3637F" w:rsidRDefault="008C404F" w:rsidP="008C404F">
                      <w:pPr>
                        <w:spacing w:after="160" w:line="259" w:lineRule="auto"/>
                        <w:jc w:val="left"/>
                        <w:rPr>
                          <w:rFonts w:ascii="Barlow" w:eastAsiaTheme="majorEastAsia" w:hAnsi="Barlow" w:cstheme="majorBidi"/>
                          <w:b/>
                          <w:sz w:val="32"/>
                          <w:szCs w:val="26"/>
                        </w:rPr>
                      </w:pPr>
                      <w:r w:rsidRPr="00B3637F">
                        <w:rPr>
                          <w:b/>
                        </w:rPr>
                        <w:t xml:space="preserve">Pour découvrir l’école, </w:t>
                      </w:r>
                      <w:hyperlink r:id="rId14" w:history="1">
                        <w:r w:rsidRPr="00B3637F">
                          <w:rPr>
                            <w:rStyle w:val="Lienhypertexte"/>
                            <w:b/>
                          </w:rPr>
                          <w:t>visitez notre site internet</w:t>
                        </w:r>
                      </w:hyperlink>
                      <w:r w:rsidRPr="00B3637F">
                        <w:rPr>
                          <w:b/>
                        </w:rPr>
                        <w:t xml:space="preserve"> et </w:t>
                      </w:r>
                      <w:hyperlink r:id="rId15" w:history="1">
                        <w:r w:rsidRPr="00B3637F">
                          <w:rPr>
                            <w:rStyle w:val="Lienhypertexte"/>
                            <w:b/>
                          </w:rPr>
                          <w:t>visionnez notre film de présentation</w:t>
                        </w:r>
                      </w:hyperlink>
                      <w:r w:rsidRPr="00B3637F">
                        <w:rPr>
                          <w:b/>
                        </w:rPr>
                        <w:t xml:space="preserve">.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B3637F"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8D25A9C" wp14:editId="2ADBD005">
                <wp:simplePos x="0" y="0"/>
                <wp:positionH relativeFrom="page">
                  <wp:posOffset>0</wp:posOffset>
                </wp:positionH>
                <wp:positionV relativeFrom="paragraph">
                  <wp:posOffset>409575</wp:posOffset>
                </wp:positionV>
                <wp:extent cx="7543800" cy="600075"/>
                <wp:effectExtent l="0" t="0" r="0" b="9525"/>
                <wp:wrapThrough wrapText="bothSides">
                  <wp:wrapPolygon edited="0">
                    <wp:start x="0" y="0"/>
                    <wp:lineTo x="0" y="21257"/>
                    <wp:lineTo x="21545" y="21257"/>
                    <wp:lineTo x="21545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6000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6F2CC" id="Rectangle 1" o:spid="_x0000_s1026" style="position:absolute;margin-left:0;margin-top:32.25pt;width:594pt;height:47.25pt;z-index:2517299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" fillcolor="#eceff2 [3214]" stroked="f" strokeweight="1pt">
                <w10:wrap type="through" anchorx="page"/>
              </v:rect>
            </w:pict>
          </mc:Fallback>
        </mc:AlternateContent>
      </w:r>
    </w:p>
    <w:sectPr w:rsidR="00911625" w:rsidRPr="00DD3B76" w:rsidSect="00E57E72">
      <w:headerReference w:type="default" r:id="rId16"/>
      <w:footerReference w:type="default" r:id="rId17"/>
      <w:pgSz w:w="11906" w:h="16838"/>
      <w:pgMar w:top="681" w:right="1077" w:bottom="993" w:left="1077" w:header="709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8E0AC" w14:textId="77777777" w:rsidR="00C84ADF" w:rsidRDefault="00C84ADF" w:rsidP="00023E27">
      <w:r>
        <w:separator/>
      </w:r>
    </w:p>
  </w:endnote>
  <w:endnote w:type="continuationSeparator" w:id="0">
    <w:p w14:paraId="0BD2FF8E" w14:textId="77777777" w:rsidR="00C84ADF" w:rsidRDefault="00C84ADF" w:rsidP="0002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barlow bold">
    <w:altName w:val="Cambria"/>
    <w:panose1 w:val="000008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8B6C9" w14:textId="11FEB686" w:rsidR="0090455F" w:rsidRPr="00D9315C" w:rsidRDefault="00000000" w:rsidP="00D9315C">
    <w:pPr>
      <w:pStyle w:val="Pieddepage"/>
      <w:tabs>
        <w:tab w:val="clear" w:pos="4536"/>
        <w:tab w:val="clear" w:pos="9072"/>
      </w:tabs>
      <w:jc w:val="center"/>
      <w:rPr>
        <w:sz w:val="16"/>
      </w:rPr>
    </w:pPr>
    <w:sdt>
      <w:sdtPr>
        <w:rPr>
          <w:sz w:val="16"/>
        </w:rPr>
        <w:id w:val="-946471423"/>
        <w:docPartObj>
          <w:docPartGallery w:val="Page Numbers (Bottom of Page)"/>
          <w:docPartUnique/>
        </w:docPartObj>
      </w:sdtPr>
      <w:sdtContent>
        <w:r w:rsidR="0090455F" w:rsidRPr="00D9315C">
          <w:rPr>
            <w:sz w:val="16"/>
          </w:rPr>
          <w:fldChar w:fldCharType="begin"/>
        </w:r>
        <w:r w:rsidR="0090455F" w:rsidRPr="00D9315C">
          <w:rPr>
            <w:sz w:val="16"/>
          </w:rPr>
          <w:instrText>PAGE   \* MERGEFORMAT</w:instrText>
        </w:r>
        <w:r w:rsidR="0090455F" w:rsidRPr="00D9315C">
          <w:rPr>
            <w:sz w:val="16"/>
          </w:rPr>
          <w:fldChar w:fldCharType="separate"/>
        </w:r>
        <w:r w:rsidR="002A2268">
          <w:rPr>
            <w:noProof/>
            <w:sz w:val="16"/>
          </w:rPr>
          <w:t>4</w:t>
        </w:r>
        <w:r w:rsidR="0090455F" w:rsidRPr="00D9315C">
          <w:rPr>
            <w:sz w:val="16"/>
          </w:rPr>
          <w:fldChar w:fldCharType="end"/>
        </w:r>
      </w:sdtContent>
    </w:sdt>
  </w:p>
  <w:p w14:paraId="6E893547" w14:textId="77777777" w:rsidR="0090455F" w:rsidRPr="00D9315C" w:rsidRDefault="0090455F" w:rsidP="00023E27">
    <w:pPr>
      <w:pStyle w:val="Pieddepag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EA406" w14:textId="77777777" w:rsidR="00C84ADF" w:rsidRDefault="00C84ADF" w:rsidP="00023E27">
      <w:r>
        <w:separator/>
      </w:r>
    </w:p>
  </w:footnote>
  <w:footnote w:type="continuationSeparator" w:id="0">
    <w:p w14:paraId="28A7C167" w14:textId="77777777" w:rsidR="00C84ADF" w:rsidRDefault="00C84ADF" w:rsidP="00023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FD05" w14:textId="1D45159F" w:rsidR="0090455F" w:rsidRDefault="00E57E72" w:rsidP="00023E27">
    <w:pPr>
      <w:pStyle w:val="En-tte"/>
    </w:pPr>
    <w:bookmarkStart w:id="1" w:name="_Toc194929437"/>
    <w:bookmarkStart w:id="2" w:name="_Toc194929713"/>
    <w:bookmarkStart w:id="3" w:name="_Toc194935056"/>
    <w:bookmarkStart w:id="4" w:name="_Toc194937989"/>
    <w:bookmarkStart w:id="5" w:name="_Toc194938060"/>
    <w:bookmarkStart w:id="6" w:name="_Toc195004534"/>
    <w:bookmarkStart w:id="7" w:name="_Toc195177841"/>
    <w:bookmarkStart w:id="8" w:name="_Toc195178000"/>
    <w:bookmarkStart w:id="9" w:name="_Toc195178276"/>
    <w:bookmarkStart w:id="10" w:name="_Toc195185538"/>
    <w:bookmarkStart w:id="11" w:name="_Toc195185668"/>
    <w:bookmarkStart w:id="12" w:name="_Toc195188913"/>
    <w:r w:rsidRPr="0090455F">
      <w:rPr>
        <w:noProof/>
      </w:rPr>
      <w:drawing>
        <wp:anchor distT="0" distB="0" distL="114300" distR="114300" simplePos="0" relativeHeight="251659264" behindDoc="1" locked="0" layoutInCell="1" allowOverlap="1" wp14:anchorId="7E5B2DB4" wp14:editId="7E7F3EE1">
          <wp:simplePos x="0" y="0"/>
          <wp:positionH relativeFrom="margin">
            <wp:align>right</wp:align>
          </wp:positionH>
          <wp:positionV relativeFrom="paragraph">
            <wp:posOffset>-50165</wp:posOffset>
          </wp:positionV>
          <wp:extent cx="747133" cy="238125"/>
          <wp:effectExtent l="0" t="0" r="0" b="0"/>
          <wp:wrapSquare wrapText="bothSides"/>
          <wp:docPr id="17" name="Image 17" descr="00 Logo 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0 Logo 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133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  <w:p w14:paraId="438D9B3B" w14:textId="77777777" w:rsidR="0090455F" w:rsidRDefault="0090455F" w:rsidP="00023E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F0303"/>
    <w:multiLevelType w:val="hybridMultilevel"/>
    <w:tmpl w:val="8BFA70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B198B"/>
    <w:multiLevelType w:val="hybridMultilevel"/>
    <w:tmpl w:val="3A647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C798F"/>
    <w:multiLevelType w:val="hybridMultilevel"/>
    <w:tmpl w:val="5FD630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F591C"/>
    <w:multiLevelType w:val="hybridMultilevel"/>
    <w:tmpl w:val="B2607FE6"/>
    <w:lvl w:ilvl="0" w:tplc="4F388F84">
      <w:numFmt w:val="bullet"/>
      <w:lvlText w:val="•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52F4E"/>
    <w:multiLevelType w:val="hybridMultilevel"/>
    <w:tmpl w:val="F3B8A5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F3CF8"/>
    <w:multiLevelType w:val="hybridMultilevel"/>
    <w:tmpl w:val="76400F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90EF8"/>
    <w:multiLevelType w:val="hybridMultilevel"/>
    <w:tmpl w:val="E4F297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57522"/>
    <w:multiLevelType w:val="hybridMultilevel"/>
    <w:tmpl w:val="D02804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50573"/>
    <w:multiLevelType w:val="hybridMultilevel"/>
    <w:tmpl w:val="9F4826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E07E1"/>
    <w:multiLevelType w:val="hybridMultilevel"/>
    <w:tmpl w:val="596854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02B31"/>
    <w:multiLevelType w:val="hybridMultilevel"/>
    <w:tmpl w:val="677A1F9E"/>
    <w:lvl w:ilvl="0" w:tplc="4F388F84">
      <w:numFmt w:val="bullet"/>
      <w:lvlText w:val="•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C5813"/>
    <w:multiLevelType w:val="hybridMultilevel"/>
    <w:tmpl w:val="2F8EC9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642727">
    <w:abstractNumId w:val="0"/>
  </w:num>
  <w:num w:numId="2" w16cid:durableId="519664557">
    <w:abstractNumId w:val="7"/>
  </w:num>
  <w:num w:numId="3" w16cid:durableId="1315336698">
    <w:abstractNumId w:val="9"/>
  </w:num>
  <w:num w:numId="4" w16cid:durableId="448085706">
    <w:abstractNumId w:val="6"/>
  </w:num>
  <w:num w:numId="5" w16cid:durableId="403988636">
    <w:abstractNumId w:val="4"/>
  </w:num>
  <w:num w:numId="6" w16cid:durableId="948659896">
    <w:abstractNumId w:val="2"/>
  </w:num>
  <w:num w:numId="7" w16cid:durableId="1600136730">
    <w:abstractNumId w:val="5"/>
  </w:num>
  <w:num w:numId="8" w16cid:durableId="80222140">
    <w:abstractNumId w:val="8"/>
  </w:num>
  <w:num w:numId="9" w16cid:durableId="751702029">
    <w:abstractNumId w:val="11"/>
  </w:num>
  <w:num w:numId="10" w16cid:durableId="953437029">
    <w:abstractNumId w:val="1"/>
  </w:num>
  <w:num w:numId="11" w16cid:durableId="1793553746">
    <w:abstractNumId w:val="10"/>
  </w:num>
  <w:num w:numId="12" w16cid:durableId="144214290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E8D"/>
    <w:rsid w:val="00001A06"/>
    <w:rsid w:val="00003A0D"/>
    <w:rsid w:val="00011A46"/>
    <w:rsid w:val="00014FB9"/>
    <w:rsid w:val="00016727"/>
    <w:rsid w:val="000217B9"/>
    <w:rsid w:val="000226B6"/>
    <w:rsid w:val="00023E27"/>
    <w:rsid w:val="000276D7"/>
    <w:rsid w:val="00030119"/>
    <w:rsid w:val="0003023A"/>
    <w:rsid w:val="00034308"/>
    <w:rsid w:val="000353F9"/>
    <w:rsid w:val="0003554E"/>
    <w:rsid w:val="000364FE"/>
    <w:rsid w:val="00044164"/>
    <w:rsid w:val="00047796"/>
    <w:rsid w:val="0005149A"/>
    <w:rsid w:val="0005289D"/>
    <w:rsid w:val="00067DA0"/>
    <w:rsid w:val="0007038A"/>
    <w:rsid w:val="000720D1"/>
    <w:rsid w:val="000825E6"/>
    <w:rsid w:val="00086B7A"/>
    <w:rsid w:val="000A2BD7"/>
    <w:rsid w:val="000A4F99"/>
    <w:rsid w:val="000B7B93"/>
    <w:rsid w:val="000F3363"/>
    <w:rsid w:val="000F3A9F"/>
    <w:rsid w:val="001019D2"/>
    <w:rsid w:val="00101C0E"/>
    <w:rsid w:val="0011216A"/>
    <w:rsid w:val="0012038D"/>
    <w:rsid w:val="00122F2A"/>
    <w:rsid w:val="001251F1"/>
    <w:rsid w:val="00127AEC"/>
    <w:rsid w:val="0013093C"/>
    <w:rsid w:val="0013499B"/>
    <w:rsid w:val="00140678"/>
    <w:rsid w:val="0014212E"/>
    <w:rsid w:val="00144C22"/>
    <w:rsid w:val="00147EB5"/>
    <w:rsid w:val="00161767"/>
    <w:rsid w:val="00163CCE"/>
    <w:rsid w:val="00164A42"/>
    <w:rsid w:val="001734F8"/>
    <w:rsid w:val="00176E40"/>
    <w:rsid w:val="001800D6"/>
    <w:rsid w:val="001848EE"/>
    <w:rsid w:val="001874D4"/>
    <w:rsid w:val="00197E07"/>
    <w:rsid w:val="001A3C9D"/>
    <w:rsid w:val="001A4DCD"/>
    <w:rsid w:val="001B0ED8"/>
    <w:rsid w:val="001B7E40"/>
    <w:rsid w:val="001C4E86"/>
    <w:rsid w:val="001C74BB"/>
    <w:rsid w:val="001D114E"/>
    <w:rsid w:val="001E317A"/>
    <w:rsid w:val="001E639A"/>
    <w:rsid w:val="001F1C81"/>
    <w:rsid w:val="00203B2A"/>
    <w:rsid w:val="0020664C"/>
    <w:rsid w:val="00206B84"/>
    <w:rsid w:val="00227934"/>
    <w:rsid w:val="00232C47"/>
    <w:rsid w:val="0023772F"/>
    <w:rsid w:val="0024140F"/>
    <w:rsid w:val="00255513"/>
    <w:rsid w:val="002610A8"/>
    <w:rsid w:val="0026217C"/>
    <w:rsid w:val="00280512"/>
    <w:rsid w:val="00282990"/>
    <w:rsid w:val="00282D27"/>
    <w:rsid w:val="0028657C"/>
    <w:rsid w:val="00290862"/>
    <w:rsid w:val="00292760"/>
    <w:rsid w:val="002934FB"/>
    <w:rsid w:val="002A2268"/>
    <w:rsid w:val="002A370E"/>
    <w:rsid w:val="002B2434"/>
    <w:rsid w:val="002B24D2"/>
    <w:rsid w:val="002C26C0"/>
    <w:rsid w:val="002C5C4C"/>
    <w:rsid w:val="002E3A28"/>
    <w:rsid w:val="002E45A2"/>
    <w:rsid w:val="002E494C"/>
    <w:rsid w:val="002E791D"/>
    <w:rsid w:val="002F4BE7"/>
    <w:rsid w:val="002F562B"/>
    <w:rsid w:val="002F6772"/>
    <w:rsid w:val="0030205C"/>
    <w:rsid w:val="00312796"/>
    <w:rsid w:val="003259A4"/>
    <w:rsid w:val="00327DC5"/>
    <w:rsid w:val="00330006"/>
    <w:rsid w:val="00331185"/>
    <w:rsid w:val="00333963"/>
    <w:rsid w:val="00342866"/>
    <w:rsid w:val="00342BD7"/>
    <w:rsid w:val="003479E2"/>
    <w:rsid w:val="003533E1"/>
    <w:rsid w:val="00363EF7"/>
    <w:rsid w:val="0036621F"/>
    <w:rsid w:val="0038135C"/>
    <w:rsid w:val="003846E2"/>
    <w:rsid w:val="003961EA"/>
    <w:rsid w:val="003A3C2C"/>
    <w:rsid w:val="003B34F5"/>
    <w:rsid w:val="003B56BC"/>
    <w:rsid w:val="003C2AFA"/>
    <w:rsid w:val="003D56E2"/>
    <w:rsid w:val="003E75D4"/>
    <w:rsid w:val="003F68D4"/>
    <w:rsid w:val="003F6D51"/>
    <w:rsid w:val="00401F34"/>
    <w:rsid w:val="0043145A"/>
    <w:rsid w:val="004331E2"/>
    <w:rsid w:val="004335D3"/>
    <w:rsid w:val="00435664"/>
    <w:rsid w:val="004447F2"/>
    <w:rsid w:val="00450FAF"/>
    <w:rsid w:val="00455CC4"/>
    <w:rsid w:val="00461C98"/>
    <w:rsid w:val="00481B94"/>
    <w:rsid w:val="00493971"/>
    <w:rsid w:val="004941CF"/>
    <w:rsid w:val="004A063E"/>
    <w:rsid w:val="004A1352"/>
    <w:rsid w:val="004A7476"/>
    <w:rsid w:val="004B583D"/>
    <w:rsid w:val="004B7C45"/>
    <w:rsid w:val="004C06D8"/>
    <w:rsid w:val="004C4E9B"/>
    <w:rsid w:val="004D1BD8"/>
    <w:rsid w:val="004D31E0"/>
    <w:rsid w:val="004E13C4"/>
    <w:rsid w:val="004E59F4"/>
    <w:rsid w:val="004F14FF"/>
    <w:rsid w:val="004F7F19"/>
    <w:rsid w:val="00501CC3"/>
    <w:rsid w:val="0050434D"/>
    <w:rsid w:val="00531441"/>
    <w:rsid w:val="00534A36"/>
    <w:rsid w:val="00541462"/>
    <w:rsid w:val="005469DE"/>
    <w:rsid w:val="00552982"/>
    <w:rsid w:val="00554ABE"/>
    <w:rsid w:val="005570CD"/>
    <w:rsid w:val="00565083"/>
    <w:rsid w:val="005675A0"/>
    <w:rsid w:val="00573F47"/>
    <w:rsid w:val="00575F11"/>
    <w:rsid w:val="00580992"/>
    <w:rsid w:val="0059105A"/>
    <w:rsid w:val="00594A28"/>
    <w:rsid w:val="005B1003"/>
    <w:rsid w:val="005B1154"/>
    <w:rsid w:val="005B14B1"/>
    <w:rsid w:val="005B1F52"/>
    <w:rsid w:val="005C4E6B"/>
    <w:rsid w:val="005C7973"/>
    <w:rsid w:val="005E3514"/>
    <w:rsid w:val="00606061"/>
    <w:rsid w:val="006127D1"/>
    <w:rsid w:val="00616231"/>
    <w:rsid w:val="0062576A"/>
    <w:rsid w:val="006265A9"/>
    <w:rsid w:val="00627D68"/>
    <w:rsid w:val="0063094A"/>
    <w:rsid w:val="00633300"/>
    <w:rsid w:val="0063486D"/>
    <w:rsid w:val="006352F9"/>
    <w:rsid w:val="00645400"/>
    <w:rsid w:val="006510D3"/>
    <w:rsid w:val="006569A8"/>
    <w:rsid w:val="006618E0"/>
    <w:rsid w:val="00671900"/>
    <w:rsid w:val="006763A5"/>
    <w:rsid w:val="00681616"/>
    <w:rsid w:val="00691297"/>
    <w:rsid w:val="0069730D"/>
    <w:rsid w:val="006A1186"/>
    <w:rsid w:val="006A7606"/>
    <w:rsid w:val="006B3F14"/>
    <w:rsid w:val="006D3EA6"/>
    <w:rsid w:val="006D4F29"/>
    <w:rsid w:val="006D6636"/>
    <w:rsid w:val="006D7E8D"/>
    <w:rsid w:val="006E47DE"/>
    <w:rsid w:val="006F45D5"/>
    <w:rsid w:val="006F55A1"/>
    <w:rsid w:val="006F5F99"/>
    <w:rsid w:val="006F705A"/>
    <w:rsid w:val="00700620"/>
    <w:rsid w:val="00701D7F"/>
    <w:rsid w:val="007049D1"/>
    <w:rsid w:val="007100E0"/>
    <w:rsid w:val="00710FAA"/>
    <w:rsid w:val="00722DB4"/>
    <w:rsid w:val="00727B3B"/>
    <w:rsid w:val="007319CD"/>
    <w:rsid w:val="00743AD1"/>
    <w:rsid w:val="00746D2C"/>
    <w:rsid w:val="00747974"/>
    <w:rsid w:val="00753D71"/>
    <w:rsid w:val="007554C6"/>
    <w:rsid w:val="007614DD"/>
    <w:rsid w:val="00762A38"/>
    <w:rsid w:val="007713FA"/>
    <w:rsid w:val="00777B19"/>
    <w:rsid w:val="00780ED1"/>
    <w:rsid w:val="00781183"/>
    <w:rsid w:val="00784E35"/>
    <w:rsid w:val="007A3E3F"/>
    <w:rsid w:val="007B4DCE"/>
    <w:rsid w:val="007B64B6"/>
    <w:rsid w:val="007B758B"/>
    <w:rsid w:val="007C70B7"/>
    <w:rsid w:val="007C76ED"/>
    <w:rsid w:val="007C7730"/>
    <w:rsid w:val="007E1EC0"/>
    <w:rsid w:val="007E2695"/>
    <w:rsid w:val="007E5CB5"/>
    <w:rsid w:val="00802E87"/>
    <w:rsid w:val="008062AD"/>
    <w:rsid w:val="0080638C"/>
    <w:rsid w:val="00806BD2"/>
    <w:rsid w:val="00812FD4"/>
    <w:rsid w:val="00815F7D"/>
    <w:rsid w:val="00817ADE"/>
    <w:rsid w:val="00822371"/>
    <w:rsid w:val="00823052"/>
    <w:rsid w:val="00831C6B"/>
    <w:rsid w:val="00831F46"/>
    <w:rsid w:val="008405A2"/>
    <w:rsid w:val="00840B58"/>
    <w:rsid w:val="00841C23"/>
    <w:rsid w:val="00846D3B"/>
    <w:rsid w:val="008514B2"/>
    <w:rsid w:val="008546BE"/>
    <w:rsid w:val="00867465"/>
    <w:rsid w:val="00870CAF"/>
    <w:rsid w:val="00871134"/>
    <w:rsid w:val="0088155A"/>
    <w:rsid w:val="00883E96"/>
    <w:rsid w:val="00895694"/>
    <w:rsid w:val="008956FB"/>
    <w:rsid w:val="008A1F82"/>
    <w:rsid w:val="008A35E4"/>
    <w:rsid w:val="008A4F20"/>
    <w:rsid w:val="008B0130"/>
    <w:rsid w:val="008B0629"/>
    <w:rsid w:val="008B5502"/>
    <w:rsid w:val="008C20A7"/>
    <w:rsid w:val="008C404F"/>
    <w:rsid w:val="008C632C"/>
    <w:rsid w:val="008C79DD"/>
    <w:rsid w:val="008D09A1"/>
    <w:rsid w:val="008E2A7D"/>
    <w:rsid w:val="008E3937"/>
    <w:rsid w:val="008E4DDC"/>
    <w:rsid w:val="008E5EA6"/>
    <w:rsid w:val="0090455F"/>
    <w:rsid w:val="00911625"/>
    <w:rsid w:val="009269F8"/>
    <w:rsid w:val="00930099"/>
    <w:rsid w:val="00931FCB"/>
    <w:rsid w:val="009346AE"/>
    <w:rsid w:val="00934812"/>
    <w:rsid w:val="009460CD"/>
    <w:rsid w:val="00953B61"/>
    <w:rsid w:val="00960C54"/>
    <w:rsid w:val="00964F3B"/>
    <w:rsid w:val="00965C97"/>
    <w:rsid w:val="0097446B"/>
    <w:rsid w:val="0098480E"/>
    <w:rsid w:val="009907BB"/>
    <w:rsid w:val="009A1C33"/>
    <w:rsid w:val="009A51F7"/>
    <w:rsid w:val="009A6026"/>
    <w:rsid w:val="009A6CA9"/>
    <w:rsid w:val="009E3967"/>
    <w:rsid w:val="00A10381"/>
    <w:rsid w:val="00A12666"/>
    <w:rsid w:val="00A127F7"/>
    <w:rsid w:val="00A17F52"/>
    <w:rsid w:val="00A21D4F"/>
    <w:rsid w:val="00A23916"/>
    <w:rsid w:val="00A2407F"/>
    <w:rsid w:val="00A241EF"/>
    <w:rsid w:val="00A27F20"/>
    <w:rsid w:val="00A32307"/>
    <w:rsid w:val="00A376A8"/>
    <w:rsid w:val="00A47968"/>
    <w:rsid w:val="00A51535"/>
    <w:rsid w:val="00A52AA1"/>
    <w:rsid w:val="00A5706A"/>
    <w:rsid w:val="00A80BD4"/>
    <w:rsid w:val="00A82706"/>
    <w:rsid w:val="00A970BC"/>
    <w:rsid w:val="00AA1C69"/>
    <w:rsid w:val="00AA69B6"/>
    <w:rsid w:val="00AC4B2E"/>
    <w:rsid w:val="00AC5803"/>
    <w:rsid w:val="00AC58AE"/>
    <w:rsid w:val="00AE2DA8"/>
    <w:rsid w:val="00B02D78"/>
    <w:rsid w:val="00B109A5"/>
    <w:rsid w:val="00B12C58"/>
    <w:rsid w:val="00B226F0"/>
    <w:rsid w:val="00B2370B"/>
    <w:rsid w:val="00B3637F"/>
    <w:rsid w:val="00B446FE"/>
    <w:rsid w:val="00B529D8"/>
    <w:rsid w:val="00B53E70"/>
    <w:rsid w:val="00B608DA"/>
    <w:rsid w:val="00B63B88"/>
    <w:rsid w:val="00B778D1"/>
    <w:rsid w:val="00B8698B"/>
    <w:rsid w:val="00B9193B"/>
    <w:rsid w:val="00B95607"/>
    <w:rsid w:val="00BB1431"/>
    <w:rsid w:val="00BB78F8"/>
    <w:rsid w:val="00BE2784"/>
    <w:rsid w:val="00BF1EA6"/>
    <w:rsid w:val="00BF7EA7"/>
    <w:rsid w:val="00C04BC4"/>
    <w:rsid w:val="00C05D59"/>
    <w:rsid w:val="00C072C8"/>
    <w:rsid w:val="00C10240"/>
    <w:rsid w:val="00C107FC"/>
    <w:rsid w:val="00C17512"/>
    <w:rsid w:val="00C17852"/>
    <w:rsid w:val="00C204E3"/>
    <w:rsid w:val="00C239F3"/>
    <w:rsid w:val="00C26965"/>
    <w:rsid w:val="00C26B50"/>
    <w:rsid w:val="00C2799E"/>
    <w:rsid w:val="00C35A04"/>
    <w:rsid w:val="00C40B4E"/>
    <w:rsid w:val="00C4176A"/>
    <w:rsid w:val="00C55EF7"/>
    <w:rsid w:val="00C704D3"/>
    <w:rsid w:val="00C748C8"/>
    <w:rsid w:val="00C84ADF"/>
    <w:rsid w:val="00CA3AD9"/>
    <w:rsid w:val="00CA732A"/>
    <w:rsid w:val="00CB393E"/>
    <w:rsid w:val="00CB7DE9"/>
    <w:rsid w:val="00CC03A3"/>
    <w:rsid w:val="00CD6C44"/>
    <w:rsid w:val="00CE746B"/>
    <w:rsid w:val="00CF1FC2"/>
    <w:rsid w:val="00CF2041"/>
    <w:rsid w:val="00CF2C0A"/>
    <w:rsid w:val="00CF5410"/>
    <w:rsid w:val="00D006DD"/>
    <w:rsid w:val="00D14472"/>
    <w:rsid w:val="00D14C1C"/>
    <w:rsid w:val="00D22F52"/>
    <w:rsid w:val="00D27212"/>
    <w:rsid w:val="00D4083E"/>
    <w:rsid w:val="00D46DCB"/>
    <w:rsid w:val="00D47379"/>
    <w:rsid w:val="00D53801"/>
    <w:rsid w:val="00D568B9"/>
    <w:rsid w:val="00D5750D"/>
    <w:rsid w:val="00D60F39"/>
    <w:rsid w:val="00D6163D"/>
    <w:rsid w:val="00D753FD"/>
    <w:rsid w:val="00D83323"/>
    <w:rsid w:val="00D83403"/>
    <w:rsid w:val="00D871EB"/>
    <w:rsid w:val="00D9315C"/>
    <w:rsid w:val="00DA3299"/>
    <w:rsid w:val="00DA5449"/>
    <w:rsid w:val="00DC1614"/>
    <w:rsid w:val="00DC6D28"/>
    <w:rsid w:val="00DD0C5C"/>
    <w:rsid w:val="00DD3B76"/>
    <w:rsid w:val="00DD611A"/>
    <w:rsid w:val="00DD65EA"/>
    <w:rsid w:val="00DE2AB1"/>
    <w:rsid w:val="00DE2E93"/>
    <w:rsid w:val="00DF09F2"/>
    <w:rsid w:val="00DF1479"/>
    <w:rsid w:val="00E00CC7"/>
    <w:rsid w:val="00E137FD"/>
    <w:rsid w:val="00E14631"/>
    <w:rsid w:val="00E15299"/>
    <w:rsid w:val="00E15935"/>
    <w:rsid w:val="00E17052"/>
    <w:rsid w:val="00E318A4"/>
    <w:rsid w:val="00E318D7"/>
    <w:rsid w:val="00E40F19"/>
    <w:rsid w:val="00E50425"/>
    <w:rsid w:val="00E544AF"/>
    <w:rsid w:val="00E558D6"/>
    <w:rsid w:val="00E56FC7"/>
    <w:rsid w:val="00E57E72"/>
    <w:rsid w:val="00E6074F"/>
    <w:rsid w:val="00E6103A"/>
    <w:rsid w:val="00E701D2"/>
    <w:rsid w:val="00E817C9"/>
    <w:rsid w:val="00E85622"/>
    <w:rsid w:val="00E9033F"/>
    <w:rsid w:val="00EA09D7"/>
    <w:rsid w:val="00EA5025"/>
    <w:rsid w:val="00EB3352"/>
    <w:rsid w:val="00EB3C56"/>
    <w:rsid w:val="00EB3CFD"/>
    <w:rsid w:val="00EB5E91"/>
    <w:rsid w:val="00EB7DEE"/>
    <w:rsid w:val="00EC4F53"/>
    <w:rsid w:val="00EE7082"/>
    <w:rsid w:val="00EF4B88"/>
    <w:rsid w:val="00EF50B1"/>
    <w:rsid w:val="00EF707D"/>
    <w:rsid w:val="00F0295C"/>
    <w:rsid w:val="00F150FA"/>
    <w:rsid w:val="00F16062"/>
    <w:rsid w:val="00F22FD4"/>
    <w:rsid w:val="00F30DFA"/>
    <w:rsid w:val="00F316E7"/>
    <w:rsid w:val="00F33F2D"/>
    <w:rsid w:val="00F426EB"/>
    <w:rsid w:val="00F46E0D"/>
    <w:rsid w:val="00F54B9E"/>
    <w:rsid w:val="00F63E5C"/>
    <w:rsid w:val="00F662A1"/>
    <w:rsid w:val="00F708CE"/>
    <w:rsid w:val="00F732AC"/>
    <w:rsid w:val="00F73DFB"/>
    <w:rsid w:val="00F834B2"/>
    <w:rsid w:val="00F845BA"/>
    <w:rsid w:val="00F84EF1"/>
    <w:rsid w:val="00F87EF0"/>
    <w:rsid w:val="00F92E77"/>
    <w:rsid w:val="00FA1E70"/>
    <w:rsid w:val="00FA3270"/>
    <w:rsid w:val="00FB5EB6"/>
    <w:rsid w:val="00FC4A99"/>
    <w:rsid w:val="00FC764B"/>
    <w:rsid w:val="00FD4FCC"/>
    <w:rsid w:val="00FD69D9"/>
    <w:rsid w:val="00FD6E5F"/>
    <w:rsid w:val="00FE24AC"/>
    <w:rsid w:val="00FF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0A263"/>
  <w15:chartTrackingRefBased/>
  <w15:docId w15:val="{C74C0213-2576-468D-94AD-20775F7C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E72"/>
    <w:pPr>
      <w:spacing w:after="240" w:line="240" w:lineRule="auto"/>
      <w:jc w:val="both"/>
    </w:pPr>
    <w:rPr>
      <w:color w:val="000F9F" w:themeColor="text1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3637F"/>
    <w:pPr>
      <w:spacing w:before="240"/>
      <w:jc w:val="left"/>
      <w:outlineLvl w:val="0"/>
    </w:pPr>
    <w:rPr>
      <w:rFonts w:asciiTheme="majorHAnsi" w:eastAsiaTheme="majorEastAsia" w:hAnsiTheme="majorHAnsi" w:cstheme="majorBidi"/>
      <w:sz w:val="48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34A36"/>
    <w:pPr>
      <w:keepNext/>
      <w:keepLines/>
      <w:spacing w:before="240"/>
      <w:jc w:val="left"/>
      <w:outlineLvl w:val="1"/>
    </w:pPr>
    <w:rPr>
      <w:rFonts w:ascii="Barlow" w:eastAsiaTheme="majorEastAsia" w:hAnsi="Barlow" w:cstheme="majorBidi"/>
      <w:b/>
      <w:sz w:val="36"/>
      <w:szCs w:val="4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62A38"/>
    <w:pPr>
      <w:spacing w:before="240"/>
      <w:outlineLvl w:val="2"/>
    </w:pPr>
    <w:rPr>
      <w:rFonts w:asciiTheme="majorHAnsi" w:hAnsiTheme="majorHAnsi"/>
      <w:sz w:val="28"/>
      <w:szCs w:val="28"/>
    </w:rPr>
  </w:style>
  <w:style w:type="paragraph" w:styleId="Titre4">
    <w:name w:val="heading 4"/>
    <w:basedOn w:val="Titre2"/>
    <w:next w:val="Normal"/>
    <w:link w:val="Titre4Car"/>
    <w:uiPriority w:val="9"/>
    <w:unhideWhenUsed/>
    <w:qFormat/>
    <w:rsid w:val="00870CAF"/>
    <w:pPr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Titre1"/>
    <w:next w:val="Normal"/>
    <w:link w:val="TitreCar"/>
    <w:uiPriority w:val="10"/>
    <w:qFormat/>
    <w:rsid w:val="00E57E72"/>
    <w:pPr>
      <w:spacing w:before="0" w:line="216" w:lineRule="auto"/>
    </w:pPr>
    <w:rPr>
      <w:noProof/>
      <w:sz w:val="56"/>
      <w:szCs w:val="80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E57E72"/>
    <w:rPr>
      <w:rFonts w:asciiTheme="majorHAnsi" w:eastAsiaTheme="majorEastAsia" w:hAnsiTheme="majorHAnsi" w:cstheme="majorBidi"/>
      <w:noProof/>
      <w:color w:val="000F9F" w:themeColor="text1"/>
      <w:sz w:val="56"/>
      <w:szCs w:val="8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3637F"/>
    <w:rPr>
      <w:rFonts w:asciiTheme="majorHAnsi" w:eastAsiaTheme="majorEastAsia" w:hAnsiTheme="majorHAnsi" w:cstheme="majorBidi"/>
      <w:color w:val="000F9F" w:themeColor="text1"/>
      <w:sz w:val="48"/>
      <w:szCs w:val="40"/>
    </w:rPr>
  </w:style>
  <w:style w:type="paragraph" w:styleId="Paragraphedeliste">
    <w:name w:val="List Paragraph"/>
    <w:basedOn w:val="Normal"/>
    <w:uiPriority w:val="34"/>
    <w:rsid w:val="006D7E8D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534A36"/>
    <w:rPr>
      <w:rFonts w:ascii="Barlow" w:eastAsiaTheme="majorEastAsia" w:hAnsi="Barlow" w:cstheme="majorBidi"/>
      <w:b/>
      <w:color w:val="000F9F" w:themeColor="text1"/>
      <w:sz w:val="36"/>
      <w:szCs w:val="40"/>
    </w:rPr>
  </w:style>
  <w:style w:type="character" w:styleId="Lienhypertexte">
    <w:name w:val="Hyperlink"/>
    <w:basedOn w:val="Policepardfaut"/>
    <w:uiPriority w:val="99"/>
    <w:unhideWhenUsed/>
    <w:rsid w:val="00960C54"/>
    <w:rPr>
      <w:color w:val="2858DD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762A38"/>
    <w:rPr>
      <w:rFonts w:asciiTheme="majorHAnsi" w:hAnsiTheme="majorHAnsi"/>
      <w:color w:val="000F9F" w:themeColor="text1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9A51F7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A51F7"/>
  </w:style>
  <w:style w:type="paragraph" w:styleId="Pieddepage">
    <w:name w:val="footer"/>
    <w:basedOn w:val="Normal"/>
    <w:link w:val="PieddepageCar"/>
    <w:uiPriority w:val="99"/>
    <w:unhideWhenUsed/>
    <w:rsid w:val="009A51F7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A51F7"/>
  </w:style>
  <w:style w:type="paragraph" w:styleId="Sansinterligne">
    <w:name w:val="No Spacing"/>
    <w:basedOn w:val="Titre1"/>
    <w:uiPriority w:val="1"/>
    <w:rsid w:val="00333963"/>
    <w:pPr>
      <w:spacing w:after="0"/>
    </w:pPr>
    <w:rPr>
      <w:rFonts w:ascii="Barlow" w:hAnsi="Barlow"/>
      <w:b/>
      <w:sz w:val="40"/>
    </w:rPr>
  </w:style>
  <w:style w:type="character" w:customStyle="1" w:styleId="Titre4Car">
    <w:name w:val="Titre 4 Car"/>
    <w:basedOn w:val="Policepardfaut"/>
    <w:link w:val="Titre4"/>
    <w:uiPriority w:val="9"/>
    <w:rsid w:val="00870CAF"/>
    <w:rPr>
      <w:rFonts w:ascii="Barlow" w:eastAsiaTheme="majorEastAsia" w:hAnsi="Barlow" w:cstheme="majorBidi"/>
      <w:b/>
      <w:color w:val="000F9F" w:themeColor="text1"/>
      <w:sz w:val="24"/>
      <w:szCs w:val="26"/>
    </w:rPr>
  </w:style>
  <w:style w:type="table" w:styleId="Grilledutableau">
    <w:name w:val="Table Grid"/>
    <w:basedOn w:val="TableauNormal"/>
    <w:uiPriority w:val="39"/>
    <w:rsid w:val="00594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3">
    <w:name w:val="List Table 3"/>
    <w:basedOn w:val="TableauNormal"/>
    <w:uiPriority w:val="48"/>
    <w:rsid w:val="004E59F4"/>
    <w:pPr>
      <w:spacing w:after="0" w:line="240" w:lineRule="auto"/>
    </w:pPr>
    <w:tblPr>
      <w:tblStyleRowBandSize w:val="1"/>
      <w:tblStyleColBandSize w:val="1"/>
      <w:tblBorders>
        <w:top w:val="single" w:sz="4" w:space="0" w:color="000F9F" w:themeColor="text1"/>
        <w:left w:val="single" w:sz="4" w:space="0" w:color="000F9F" w:themeColor="text1"/>
        <w:bottom w:val="single" w:sz="4" w:space="0" w:color="000F9F" w:themeColor="text1"/>
        <w:right w:val="single" w:sz="4" w:space="0" w:color="000F9F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F9F" w:themeFill="text1"/>
      </w:tcPr>
    </w:tblStylePr>
    <w:tblStylePr w:type="lastRow">
      <w:rPr>
        <w:b/>
        <w:bCs/>
      </w:rPr>
      <w:tblPr/>
      <w:tcPr>
        <w:tcBorders>
          <w:top w:val="double" w:sz="4" w:space="0" w:color="000F9F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F9F" w:themeColor="text1"/>
          <w:right w:val="single" w:sz="4" w:space="0" w:color="000F9F" w:themeColor="text1"/>
        </w:tcBorders>
      </w:tcPr>
    </w:tblStylePr>
    <w:tblStylePr w:type="band1Horz">
      <w:tblPr/>
      <w:tcPr>
        <w:tcBorders>
          <w:top w:val="single" w:sz="4" w:space="0" w:color="000F9F" w:themeColor="text1"/>
          <w:bottom w:val="single" w:sz="4" w:space="0" w:color="000F9F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F9F" w:themeColor="text1"/>
          <w:left w:val="nil"/>
        </w:tcBorders>
      </w:tcPr>
    </w:tblStylePr>
    <w:tblStylePr w:type="swCell">
      <w:tblPr/>
      <w:tcPr>
        <w:tcBorders>
          <w:top w:val="double" w:sz="4" w:space="0" w:color="000F9F" w:themeColor="text1"/>
          <w:right w:val="nil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unhideWhenUsed/>
    <w:rsid w:val="00164A42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64A4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64A42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B9193B"/>
    <w:rPr>
      <w:color w:val="2858DD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732A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732A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732A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32A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732A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32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32AC"/>
    <w:rPr>
      <w:rFonts w:ascii="Segoe UI" w:hAnsi="Segoe UI" w:cs="Segoe UI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rsid w:val="00333963"/>
    <w:pPr>
      <w:keepNext/>
      <w:keepLines/>
      <w:spacing w:after="0"/>
      <w:outlineLvl w:val="9"/>
    </w:pPr>
    <w:rPr>
      <w:color w:val="3CDD32" w:themeColor="accent1" w:themeShade="BF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8546BE"/>
    <w:pPr>
      <w:tabs>
        <w:tab w:val="right" w:leader="dot" w:pos="9742"/>
      </w:tabs>
      <w:spacing w:after="100" w:line="276" w:lineRule="auto"/>
      <w:jc w:val="left"/>
    </w:pPr>
    <w:rPr>
      <w:b/>
      <w:noProof/>
    </w:rPr>
  </w:style>
  <w:style w:type="paragraph" w:styleId="TM2">
    <w:name w:val="toc 2"/>
    <w:basedOn w:val="Normal"/>
    <w:next w:val="Normal"/>
    <w:autoRedefine/>
    <w:uiPriority w:val="39"/>
    <w:unhideWhenUsed/>
    <w:rsid w:val="00333963"/>
    <w:pPr>
      <w:spacing w:after="100"/>
      <w:ind w:left="240"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B3637F"/>
    <w:pPr>
      <w:numPr>
        <w:ilvl w:val="1"/>
      </w:numPr>
    </w:pPr>
    <w:rPr>
      <w:rFonts w:eastAsiaTheme="minorEastAsia"/>
      <w:b/>
      <w:color w:val="AF94EC" w:themeColor="accent5"/>
      <w:spacing w:val="15"/>
      <w:sz w:val="40"/>
      <w:szCs w:val="40"/>
    </w:rPr>
  </w:style>
  <w:style w:type="character" w:customStyle="1" w:styleId="Sous-titreCar">
    <w:name w:val="Sous-titre Car"/>
    <w:basedOn w:val="Policepardfaut"/>
    <w:link w:val="Sous-titre"/>
    <w:uiPriority w:val="11"/>
    <w:rsid w:val="00B3637F"/>
    <w:rPr>
      <w:rFonts w:eastAsiaTheme="minorEastAsia"/>
      <w:b/>
      <w:color w:val="AF94EC" w:themeColor="accent5"/>
      <w:spacing w:val="15"/>
      <w:sz w:val="40"/>
      <w:szCs w:val="40"/>
    </w:rPr>
  </w:style>
  <w:style w:type="paragraph" w:styleId="TM3">
    <w:name w:val="toc 3"/>
    <w:basedOn w:val="Normal"/>
    <w:next w:val="Normal"/>
    <w:autoRedefine/>
    <w:uiPriority w:val="39"/>
    <w:unhideWhenUsed/>
    <w:rsid w:val="00D60F39"/>
    <w:pPr>
      <w:spacing w:after="100"/>
      <w:ind w:left="480"/>
    </w:pPr>
  </w:style>
  <w:style w:type="paragraph" w:customStyle="1" w:styleId="Titreblocmisenavant">
    <w:name w:val="Titre bloc mis en avant"/>
    <w:basedOn w:val="Normal"/>
    <w:link w:val="TitreblocmisenavantCar"/>
    <w:qFormat/>
    <w:rsid w:val="00203B2A"/>
    <w:pPr>
      <w:tabs>
        <w:tab w:val="left" w:pos="1701"/>
      </w:tabs>
    </w:pPr>
    <w:rPr>
      <w:b/>
      <w:i/>
    </w:rPr>
  </w:style>
  <w:style w:type="paragraph" w:customStyle="1" w:styleId="Paragrapheblocmiseenavant">
    <w:name w:val="Paragraphe bloc mise en avant"/>
    <w:basedOn w:val="Titreblocmisenavant"/>
    <w:link w:val="ParagrapheblocmiseenavantCar"/>
    <w:qFormat/>
    <w:rsid w:val="00781183"/>
    <w:rPr>
      <w:b w:val="0"/>
    </w:rPr>
  </w:style>
  <w:style w:type="character" w:customStyle="1" w:styleId="TitreblocmisenavantCar">
    <w:name w:val="Titre bloc mis en avant Car"/>
    <w:basedOn w:val="Policepardfaut"/>
    <w:link w:val="Titreblocmisenavant"/>
    <w:rsid w:val="00203B2A"/>
    <w:rPr>
      <w:b/>
      <w:i/>
      <w:color w:val="000F9F" w:themeColor="text1"/>
      <w:sz w:val="24"/>
    </w:rPr>
  </w:style>
  <w:style w:type="paragraph" w:customStyle="1" w:styleId="Notesoustableau">
    <w:name w:val="Note sous tableau"/>
    <w:basedOn w:val="Normal"/>
    <w:link w:val="NotesoustableauCar"/>
    <w:qFormat/>
    <w:rsid w:val="00701D7F"/>
    <w:pPr>
      <w:spacing w:before="120"/>
      <w:jc w:val="left"/>
    </w:pPr>
    <w:rPr>
      <w:i/>
      <w:sz w:val="20"/>
    </w:rPr>
  </w:style>
  <w:style w:type="character" w:customStyle="1" w:styleId="ParagrapheblocmiseenavantCar">
    <w:name w:val="Paragraphe bloc mise en avant Car"/>
    <w:basedOn w:val="TitreblocmisenavantCar"/>
    <w:link w:val="Paragrapheblocmiseenavant"/>
    <w:rsid w:val="00781183"/>
    <w:rPr>
      <w:b w:val="0"/>
      <w:i/>
      <w:color w:val="000F9F" w:themeColor="text1"/>
      <w:sz w:val="24"/>
    </w:rPr>
  </w:style>
  <w:style w:type="table" w:styleId="TableauGrille1Clair-Accentuation6">
    <w:name w:val="Grid Table 1 Light Accent 6"/>
    <w:basedOn w:val="TableauNormal"/>
    <w:uiPriority w:val="46"/>
    <w:rsid w:val="00762A38"/>
    <w:pPr>
      <w:spacing w:after="0" w:line="240" w:lineRule="auto"/>
    </w:pPr>
    <w:tblPr>
      <w:tblStyleRowBandSize w:val="1"/>
      <w:tblStyleColBandSize w:val="1"/>
      <w:tblBorders>
        <w:top w:val="single" w:sz="4" w:space="0" w:color="FFF1B9" w:themeColor="accent6" w:themeTint="66"/>
        <w:left w:val="single" w:sz="4" w:space="0" w:color="FFF1B9" w:themeColor="accent6" w:themeTint="66"/>
        <w:bottom w:val="single" w:sz="4" w:space="0" w:color="FFF1B9" w:themeColor="accent6" w:themeTint="66"/>
        <w:right w:val="single" w:sz="4" w:space="0" w:color="FFF1B9" w:themeColor="accent6" w:themeTint="66"/>
        <w:insideH w:val="single" w:sz="4" w:space="0" w:color="FFF1B9" w:themeColor="accent6" w:themeTint="66"/>
        <w:insideV w:val="single" w:sz="4" w:space="0" w:color="FFF1B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9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9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tesoustableauCar">
    <w:name w:val="Note sous tableau Car"/>
    <w:basedOn w:val="Policepardfaut"/>
    <w:link w:val="Notesoustableau"/>
    <w:rsid w:val="00701D7F"/>
    <w:rPr>
      <w:i/>
      <w:color w:val="000F9F" w:themeColor="text1"/>
      <w:sz w:val="20"/>
    </w:rPr>
  </w:style>
  <w:style w:type="table" w:styleId="TableauListe1Clair">
    <w:name w:val="List Table 1 Light"/>
    <w:basedOn w:val="TableauNormal"/>
    <w:uiPriority w:val="46"/>
    <w:rsid w:val="00762A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C40FF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C40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BFFF" w:themeFill="text1" w:themeFillTint="33"/>
      </w:tcPr>
    </w:tblStylePr>
    <w:tblStylePr w:type="band1Horz">
      <w:tblPr/>
      <w:tcPr>
        <w:shd w:val="clear" w:color="auto" w:fill="B8BFFF" w:themeFill="text1" w:themeFillTint="33"/>
      </w:tcPr>
    </w:tblStylePr>
  </w:style>
  <w:style w:type="table" w:styleId="TableauListe2">
    <w:name w:val="List Table 2"/>
    <w:basedOn w:val="TableauNormal"/>
    <w:uiPriority w:val="47"/>
    <w:rsid w:val="00762A38"/>
    <w:pPr>
      <w:spacing w:after="0" w:line="240" w:lineRule="auto"/>
    </w:pPr>
    <w:tblPr>
      <w:tblStyleRowBandSize w:val="1"/>
      <w:tblStyleColBandSize w:val="1"/>
      <w:tblBorders>
        <w:top w:val="single" w:sz="4" w:space="0" w:color="2C40FF" w:themeColor="text1" w:themeTint="99"/>
        <w:bottom w:val="single" w:sz="4" w:space="0" w:color="2C40FF" w:themeColor="text1" w:themeTint="99"/>
        <w:insideH w:val="single" w:sz="4" w:space="0" w:color="2C40FF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BFFF" w:themeFill="text1" w:themeFillTint="33"/>
      </w:tcPr>
    </w:tblStylePr>
    <w:tblStylePr w:type="band1Horz">
      <w:tblPr/>
      <w:tcPr>
        <w:shd w:val="clear" w:color="auto" w:fill="B8BFFF" w:themeFill="text1" w:themeFillTint="33"/>
      </w:tcPr>
    </w:tblStylePr>
  </w:style>
  <w:style w:type="paragraph" w:customStyle="1" w:styleId="Corpstableau">
    <w:name w:val="Corps tableau"/>
    <w:basedOn w:val="Normal"/>
    <w:link w:val="CorpstableauCar"/>
    <w:qFormat/>
    <w:rsid w:val="001019D2"/>
    <w:pPr>
      <w:spacing w:before="120" w:after="120"/>
    </w:pPr>
  </w:style>
  <w:style w:type="paragraph" w:customStyle="1" w:styleId="Titretableaubleu">
    <w:name w:val="Titre tableau bleu"/>
    <w:basedOn w:val="Corpstableau"/>
    <w:link w:val="TitretableaubleuCar"/>
    <w:qFormat/>
    <w:rsid w:val="001019D2"/>
    <w:rPr>
      <w:b/>
    </w:rPr>
  </w:style>
  <w:style w:type="character" w:customStyle="1" w:styleId="CorpstableauCar">
    <w:name w:val="Corps tableau Car"/>
    <w:basedOn w:val="Policepardfaut"/>
    <w:link w:val="Corpstableau"/>
    <w:rsid w:val="001019D2"/>
    <w:rPr>
      <w:color w:val="000F9F" w:themeColor="text1"/>
      <w:sz w:val="24"/>
    </w:rPr>
  </w:style>
  <w:style w:type="paragraph" w:customStyle="1" w:styleId="Titretableauviolet">
    <w:name w:val="Titre tableau violet"/>
    <w:basedOn w:val="Corpstableau"/>
    <w:link w:val="TitretableauvioletCar"/>
    <w:qFormat/>
    <w:rsid w:val="001019D2"/>
    <w:rPr>
      <w:b/>
      <w:color w:val="AF94EC" w:themeColor="accent5"/>
    </w:rPr>
  </w:style>
  <w:style w:type="character" w:customStyle="1" w:styleId="TitretableaubleuCar">
    <w:name w:val="Titre tableau bleu Car"/>
    <w:basedOn w:val="CorpstableauCar"/>
    <w:link w:val="Titretableaubleu"/>
    <w:rsid w:val="001019D2"/>
    <w:rPr>
      <w:b/>
      <w:color w:val="000F9F" w:themeColor="text1"/>
      <w:sz w:val="24"/>
    </w:rPr>
  </w:style>
  <w:style w:type="table" w:styleId="TableauListe2-Accentuation5">
    <w:name w:val="List Table 2 Accent 5"/>
    <w:basedOn w:val="TableauNormal"/>
    <w:uiPriority w:val="47"/>
    <w:rsid w:val="001B7E40"/>
    <w:pPr>
      <w:spacing w:after="0" w:line="240" w:lineRule="auto"/>
    </w:pPr>
    <w:tblPr>
      <w:tblStyleRowBandSize w:val="1"/>
      <w:tblStyleColBandSize w:val="1"/>
      <w:tblBorders>
        <w:top w:val="single" w:sz="4" w:space="0" w:color="CEBEF3" w:themeColor="accent5" w:themeTint="99"/>
        <w:bottom w:val="single" w:sz="4" w:space="0" w:color="CEBEF3" w:themeColor="accent5" w:themeTint="99"/>
        <w:insideH w:val="single" w:sz="4" w:space="0" w:color="CEBEF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9FB" w:themeFill="accent5" w:themeFillTint="33"/>
      </w:tcPr>
    </w:tblStylePr>
    <w:tblStylePr w:type="band1Horz">
      <w:tblPr/>
      <w:tcPr>
        <w:shd w:val="clear" w:color="auto" w:fill="EEE9FB" w:themeFill="accent5" w:themeFillTint="33"/>
      </w:tcPr>
    </w:tblStylePr>
  </w:style>
  <w:style w:type="character" w:customStyle="1" w:styleId="TitretableauvioletCar">
    <w:name w:val="Titre tableau violet Car"/>
    <w:basedOn w:val="CorpstableauCar"/>
    <w:link w:val="Titretableauviolet"/>
    <w:rsid w:val="001019D2"/>
    <w:rPr>
      <w:b/>
      <w:color w:val="AF94EC" w:themeColor="accent5"/>
      <w:sz w:val="24"/>
    </w:rPr>
  </w:style>
  <w:style w:type="table" w:styleId="TableauGrille6Couleur-Accentuation1">
    <w:name w:val="Grid Table 6 Colorful Accent 1"/>
    <w:basedOn w:val="TableauNormal"/>
    <w:uiPriority w:val="51"/>
    <w:rsid w:val="001B7E40"/>
    <w:pPr>
      <w:spacing w:after="0" w:line="240" w:lineRule="auto"/>
    </w:pPr>
    <w:rPr>
      <w:color w:val="3CDD32" w:themeColor="accent1" w:themeShade="BF"/>
    </w:rPr>
    <w:tblPr>
      <w:tblStyleRowBandSize w:val="1"/>
      <w:tblStyleColBandSize w:val="1"/>
      <w:tblBorders>
        <w:top w:val="single" w:sz="4" w:space="0" w:color="B6F2B3" w:themeColor="accent1" w:themeTint="99"/>
        <w:left w:val="single" w:sz="4" w:space="0" w:color="B6F2B3" w:themeColor="accent1" w:themeTint="99"/>
        <w:bottom w:val="single" w:sz="4" w:space="0" w:color="B6F2B3" w:themeColor="accent1" w:themeTint="99"/>
        <w:right w:val="single" w:sz="4" w:space="0" w:color="B6F2B3" w:themeColor="accent1" w:themeTint="99"/>
        <w:insideH w:val="single" w:sz="4" w:space="0" w:color="B6F2B3" w:themeColor="accent1" w:themeTint="99"/>
        <w:insideV w:val="single" w:sz="4" w:space="0" w:color="B6F2B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6F2B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F2B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AE5" w:themeFill="accent1" w:themeFillTint="33"/>
      </w:tcPr>
    </w:tblStylePr>
    <w:tblStylePr w:type="band1Horz">
      <w:tblPr/>
      <w:tcPr>
        <w:shd w:val="clear" w:color="auto" w:fill="E6FAE5" w:themeFill="accen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1B7E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F2B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F2B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AE5" w:themeFill="accent1" w:themeFillTint="33"/>
      </w:tcPr>
    </w:tblStylePr>
    <w:tblStylePr w:type="band1Horz">
      <w:tblPr/>
      <w:tcPr>
        <w:shd w:val="clear" w:color="auto" w:fill="E6FAE5" w:themeFill="accent1" w:themeFillTint="33"/>
      </w:tcPr>
    </w:tblStylePr>
  </w:style>
  <w:style w:type="paragraph" w:customStyle="1" w:styleId="Sousintitul">
    <w:name w:val="Sous intitulé"/>
    <w:basedOn w:val="Titre"/>
    <w:link w:val="SousintitulCar"/>
    <w:qFormat/>
    <w:rsid w:val="00342BD7"/>
    <w:rPr>
      <w:rFonts w:asciiTheme="minorHAnsi" w:hAnsiTheme="minorHAnsi"/>
      <w:sz w:val="36"/>
      <w:szCs w:val="36"/>
    </w:rPr>
  </w:style>
  <w:style w:type="character" w:customStyle="1" w:styleId="SousintitulCar">
    <w:name w:val="Sous intitulé Car"/>
    <w:basedOn w:val="TitreCar"/>
    <w:link w:val="Sousintitul"/>
    <w:rsid w:val="00342BD7"/>
    <w:rPr>
      <w:rFonts w:asciiTheme="majorHAnsi" w:eastAsiaTheme="majorEastAsia" w:hAnsiTheme="majorHAnsi" w:cstheme="majorBidi"/>
      <w:noProof/>
      <w:color w:val="000F9F" w:themeColor="text1"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hM1McysxXq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entrale-mediterranee.fr/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hM1McysxXqM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entrale-mediterranee.fr/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2022 Thème Centrale Marseille">
  <a:themeElements>
    <a:clrScheme name="Centrale Méditerranée">
      <a:dk1>
        <a:srgbClr val="000F9F"/>
      </a:dk1>
      <a:lt1>
        <a:srgbClr val="FFFFFF"/>
      </a:lt1>
      <a:dk2>
        <a:srgbClr val="4C5F80"/>
      </a:dk2>
      <a:lt2>
        <a:srgbClr val="ECEFF2"/>
      </a:lt2>
      <a:accent1>
        <a:srgbClr val="87EA81"/>
      </a:accent1>
      <a:accent2>
        <a:srgbClr val="3688FF"/>
      </a:accent2>
      <a:accent3>
        <a:srgbClr val="FF7B4D"/>
      </a:accent3>
      <a:accent4>
        <a:srgbClr val="FB544C"/>
      </a:accent4>
      <a:accent5>
        <a:srgbClr val="AF94EC"/>
      </a:accent5>
      <a:accent6>
        <a:srgbClr val="FFDD50"/>
      </a:accent6>
      <a:hlink>
        <a:srgbClr val="2858DD"/>
      </a:hlink>
      <a:folHlink>
        <a:srgbClr val="2858DD"/>
      </a:folHlink>
    </a:clrScheme>
    <a:fontScheme name="Police Charte ECM 2021">
      <a:majorFont>
        <a:latin typeface="Barlow Bold"/>
        <a:ea typeface=""/>
        <a:cs typeface=""/>
      </a:majorFont>
      <a:minorFont>
        <a:latin typeface="Barl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centrale marseille - charte graphique" id="{9B802434-507F-45DB-B83C-F26B731A0E74}" vid="{60C61CC4-2E39-430E-9160-6ACF93243DC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F52F6-986F-468B-A80C-E2BE4472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Ecole Centrale Marseille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Dubost</dc:creator>
  <cp:keywords/>
  <dc:description/>
  <cp:lastModifiedBy>Daniela Xavier</cp:lastModifiedBy>
  <cp:revision>2</cp:revision>
  <cp:lastPrinted>2025-04-10T12:24:00Z</cp:lastPrinted>
  <dcterms:created xsi:type="dcterms:W3CDTF">2026-09-14T08:01:00Z</dcterms:created>
  <dcterms:modified xsi:type="dcterms:W3CDTF">2026-09-14T08:01:00Z</dcterms:modified>
</cp:coreProperties>
</file>